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82" w:rsidRPr="007D760C" w:rsidRDefault="00EB2D60" w:rsidP="007C6282">
      <w:pPr>
        <w:rPr>
          <w:b/>
          <w:bCs/>
          <w:sz w:val="24"/>
          <w:szCs w:val="24"/>
          <w:lang w:val="en-GB"/>
        </w:rPr>
      </w:pPr>
      <w:r w:rsidRPr="007D760C">
        <w:rPr>
          <w:b/>
          <w:bCs/>
          <w:sz w:val="24"/>
          <w:szCs w:val="24"/>
          <w:lang w:val="en-GB"/>
        </w:rPr>
        <w:t>APPENDIX</w:t>
      </w:r>
      <w:r w:rsidR="007C6282" w:rsidRPr="007D760C">
        <w:rPr>
          <w:b/>
          <w:bCs/>
          <w:sz w:val="24"/>
          <w:szCs w:val="24"/>
          <w:lang w:val="en-GB"/>
        </w:rPr>
        <w:t xml:space="preserve"> 2: RAM LIGHT</w:t>
      </w:r>
      <w:r w:rsidR="00055E9C" w:rsidRPr="007D760C">
        <w:rPr>
          <w:b/>
          <w:bCs/>
          <w:sz w:val="24"/>
          <w:szCs w:val="24"/>
          <w:lang w:val="en-GB"/>
        </w:rPr>
        <w:t xml:space="preserve"> V.2</w:t>
      </w:r>
      <w:r w:rsidRPr="007D760C">
        <w:rPr>
          <w:b/>
          <w:bCs/>
          <w:sz w:val="24"/>
          <w:szCs w:val="24"/>
          <w:lang w:val="en-GB"/>
        </w:rPr>
        <w:t xml:space="preserve"> STANDARDS</w:t>
      </w:r>
    </w:p>
    <w:p w:rsidR="007C6282" w:rsidRPr="007D760C" w:rsidRDefault="007C6282" w:rsidP="007C6282">
      <w:pPr>
        <w:rPr>
          <w:b/>
          <w:sz w:val="24"/>
          <w:szCs w:val="24"/>
          <w:lang w:val="en-GB"/>
        </w:rPr>
      </w:pPr>
    </w:p>
    <w:tbl>
      <w:tblPr>
        <w:tblStyle w:val="TableGrid"/>
        <w:tblW w:w="9072" w:type="dxa"/>
        <w:jc w:val="center"/>
        <w:tblLayout w:type="fixed"/>
        <w:tblLook w:val="04A0" w:firstRow="1" w:lastRow="0" w:firstColumn="1" w:lastColumn="0" w:noHBand="0" w:noVBand="1"/>
      </w:tblPr>
      <w:tblGrid>
        <w:gridCol w:w="9072"/>
      </w:tblGrid>
      <w:tr w:rsidR="007C6282" w:rsidRPr="007D760C" w:rsidTr="006D70B1">
        <w:trPr>
          <w:trHeight w:val="567"/>
          <w:jc w:val="center"/>
        </w:trPr>
        <w:tc>
          <w:tcPr>
            <w:tcW w:w="9072" w:type="dxa"/>
            <w:shd w:val="clear" w:color="auto" w:fill="8496B0" w:themeFill="text2" w:themeFillTint="99"/>
            <w:vAlign w:val="center"/>
          </w:tcPr>
          <w:p w:rsidR="007C6282" w:rsidRPr="007D760C" w:rsidRDefault="00EB2D60" w:rsidP="00EB2D60">
            <w:pPr>
              <w:jc w:val="center"/>
              <w:rPr>
                <w:b/>
                <w:sz w:val="24"/>
                <w:szCs w:val="24"/>
                <w:lang w:val="en-GB"/>
              </w:rPr>
            </w:pPr>
            <w:r w:rsidRPr="007D760C">
              <w:rPr>
                <w:b/>
                <w:sz w:val="24"/>
                <w:szCs w:val="24"/>
                <w:lang w:val="en-GB"/>
              </w:rPr>
              <w:t xml:space="preserve">THE APPLICANT ORGANIZATION </w:t>
            </w:r>
          </w:p>
        </w:tc>
      </w:tr>
      <w:tr w:rsidR="007C6282" w:rsidRPr="007C5834" w:rsidTr="006D70B1">
        <w:trPr>
          <w:trHeight w:val="567"/>
          <w:jc w:val="center"/>
        </w:trPr>
        <w:tc>
          <w:tcPr>
            <w:tcW w:w="9072" w:type="dxa"/>
            <w:shd w:val="clear" w:color="auto" w:fill="auto"/>
            <w:vAlign w:val="center"/>
          </w:tcPr>
          <w:p w:rsidR="007C6282" w:rsidRPr="007D760C" w:rsidRDefault="007C6282" w:rsidP="00FD216C">
            <w:pPr>
              <w:rPr>
                <w:b/>
                <w:sz w:val="24"/>
                <w:szCs w:val="24"/>
                <w:u w:val="single"/>
                <w:lang w:val="en-GB"/>
              </w:rPr>
            </w:pPr>
          </w:p>
          <w:p w:rsidR="007C6282" w:rsidRPr="007D760C" w:rsidRDefault="007C6282" w:rsidP="00FD216C">
            <w:pPr>
              <w:rPr>
                <w:sz w:val="24"/>
                <w:szCs w:val="24"/>
                <w:lang w:val="en-GB"/>
              </w:rPr>
            </w:pPr>
            <w:r w:rsidRPr="007D760C">
              <w:rPr>
                <w:b/>
                <w:sz w:val="24"/>
                <w:szCs w:val="24"/>
                <w:u w:val="single"/>
                <w:lang w:val="en-GB"/>
              </w:rPr>
              <w:t xml:space="preserve">Standard 1: </w:t>
            </w:r>
            <w:r w:rsidR="00EB2D60" w:rsidRPr="007D760C">
              <w:rPr>
                <w:b/>
                <w:sz w:val="24"/>
                <w:szCs w:val="24"/>
                <w:u w:val="single"/>
                <w:lang w:val="en-GB"/>
              </w:rPr>
              <w:t xml:space="preserve">The applicant’s strategy </w:t>
            </w:r>
          </w:p>
          <w:p w:rsidR="00686298" w:rsidRPr="007D760C" w:rsidRDefault="00EB2D60">
            <w:pPr>
              <w:rPr>
                <w:iCs/>
                <w:sz w:val="24"/>
                <w:szCs w:val="24"/>
                <w:lang w:val="en-GB"/>
              </w:rPr>
            </w:pPr>
            <w:r w:rsidRPr="007D760C">
              <w:rPr>
                <w:iCs/>
                <w:sz w:val="24"/>
                <w:szCs w:val="24"/>
                <w:lang w:val="en-GB"/>
              </w:rPr>
              <w:t xml:space="preserve">The applicant has a general, long-term and realistic plan for the </w:t>
            </w:r>
            <w:r w:rsidR="00E26D39">
              <w:rPr>
                <w:iCs/>
                <w:sz w:val="24"/>
                <w:szCs w:val="24"/>
                <w:lang w:val="en-GB"/>
              </w:rPr>
              <w:t>development aid work</w:t>
            </w:r>
            <w:r w:rsidRPr="007D760C">
              <w:rPr>
                <w:iCs/>
                <w:sz w:val="24"/>
                <w:szCs w:val="24"/>
                <w:lang w:val="en-GB"/>
              </w:rPr>
              <w:t xml:space="preserve">. </w:t>
            </w:r>
            <w:r w:rsidR="00BC5C0A">
              <w:rPr>
                <w:iCs/>
                <w:sz w:val="24"/>
                <w:szCs w:val="24"/>
                <w:lang w:val="en-GB"/>
              </w:rPr>
              <w:t>The applicant</w:t>
            </w:r>
            <w:r w:rsidRPr="007D760C">
              <w:rPr>
                <w:iCs/>
                <w:sz w:val="24"/>
                <w:szCs w:val="24"/>
                <w:lang w:val="en-GB"/>
              </w:rPr>
              <w:t xml:space="preserve"> ha</w:t>
            </w:r>
            <w:r w:rsidR="004A742C">
              <w:rPr>
                <w:iCs/>
                <w:sz w:val="24"/>
                <w:szCs w:val="24"/>
                <w:lang w:val="en-GB"/>
              </w:rPr>
              <w:t xml:space="preserve">s </w:t>
            </w:r>
            <w:r w:rsidR="00BC5C0A">
              <w:rPr>
                <w:iCs/>
                <w:sz w:val="24"/>
                <w:szCs w:val="24"/>
                <w:lang w:val="en-GB"/>
              </w:rPr>
              <w:t>good</w:t>
            </w:r>
            <w:r w:rsidR="00647E51">
              <w:rPr>
                <w:iCs/>
                <w:sz w:val="24"/>
                <w:szCs w:val="24"/>
                <w:lang w:val="en-GB"/>
              </w:rPr>
              <w:t xml:space="preserve"> analysi</w:t>
            </w:r>
            <w:r w:rsidR="004A742C">
              <w:rPr>
                <w:iCs/>
                <w:sz w:val="24"/>
                <w:szCs w:val="24"/>
                <w:lang w:val="en-GB"/>
              </w:rPr>
              <w:t>s that provide</w:t>
            </w:r>
            <w:r w:rsidRPr="007D760C">
              <w:rPr>
                <w:iCs/>
                <w:sz w:val="24"/>
                <w:szCs w:val="24"/>
                <w:lang w:val="en-GB"/>
              </w:rPr>
              <w:t xml:space="preserve"> </w:t>
            </w:r>
            <w:r w:rsidR="00E26D39">
              <w:rPr>
                <w:iCs/>
                <w:sz w:val="24"/>
                <w:szCs w:val="24"/>
                <w:lang w:val="en-GB"/>
              </w:rPr>
              <w:t>justification</w:t>
            </w:r>
            <w:r w:rsidR="00E26D39" w:rsidRPr="007D760C">
              <w:rPr>
                <w:iCs/>
                <w:sz w:val="24"/>
                <w:szCs w:val="24"/>
                <w:lang w:val="en-GB"/>
              </w:rPr>
              <w:t xml:space="preserve"> </w:t>
            </w:r>
            <w:r w:rsidRPr="007D760C">
              <w:rPr>
                <w:iCs/>
                <w:sz w:val="24"/>
                <w:szCs w:val="24"/>
                <w:lang w:val="en-GB"/>
              </w:rPr>
              <w:t>for geographical and thematic priorities.</w:t>
            </w:r>
            <w:r w:rsidR="001C0393">
              <w:rPr>
                <w:iCs/>
                <w:sz w:val="24"/>
                <w:szCs w:val="24"/>
                <w:lang w:val="en-GB"/>
              </w:rPr>
              <w:t xml:space="preserve"> </w:t>
            </w:r>
          </w:p>
          <w:p w:rsidR="00686298" w:rsidRPr="007D760C" w:rsidRDefault="00686298" w:rsidP="00421936">
            <w:pPr>
              <w:rPr>
                <w:i/>
                <w:color w:val="FF0000"/>
                <w:sz w:val="24"/>
                <w:szCs w:val="24"/>
                <w:lang w:val="en-GB"/>
              </w:rPr>
            </w:pPr>
          </w:p>
        </w:tc>
      </w:tr>
      <w:tr w:rsidR="007C6282" w:rsidRPr="007C5834" w:rsidTr="006D70B1">
        <w:trPr>
          <w:trHeight w:val="567"/>
          <w:jc w:val="center"/>
        </w:trPr>
        <w:tc>
          <w:tcPr>
            <w:tcW w:w="9072" w:type="dxa"/>
            <w:shd w:val="clear" w:color="auto" w:fill="auto"/>
          </w:tcPr>
          <w:p w:rsidR="007C6282" w:rsidRPr="007D760C" w:rsidRDefault="007C6282" w:rsidP="00FD216C">
            <w:pPr>
              <w:rPr>
                <w:b/>
                <w:sz w:val="24"/>
                <w:szCs w:val="24"/>
                <w:u w:val="single"/>
                <w:lang w:val="en-GB"/>
              </w:rPr>
            </w:pPr>
            <w:r w:rsidRPr="007D760C">
              <w:rPr>
                <w:sz w:val="24"/>
                <w:szCs w:val="24"/>
                <w:lang w:val="en-GB"/>
              </w:rPr>
              <w:br w:type="page"/>
            </w:r>
          </w:p>
          <w:p w:rsidR="007C6282" w:rsidRPr="007D760C" w:rsidRDefault="007C6282" w:rsidP="00FD216C">
            <w:pPr>
              <w:rPr>
                <w:sz w:val="24"/>
                <w:szCs w:val="24"/>
                <w:lang w:val="en-GB"/>
              </w:rPr>
            </w:pPr>
            <w:r w:rsidRPr="007D760C">
              <w:rPr>
                <w:b/>
                <w:sz w:val="24"/>
                <w:szCs w:val="24"/>
                <w:u w:val="single"/>
                <w:lang w:val="en-GB"/>
              </w:rPr>
              <w:t xml:space="preserve">Standard 2: </w:t>
            </w:r>
            <w:r w:rsidR="00EB2D60" w:rsidRPr="007D760C">
              <w:rPr>
                <w:b/>
                <w:sz w:val="24"/>
                <w:szCs w:val="24"/>
                <w:u w:val="single"/>
                <w:lang w:val="en-GB"/>
              </w:rPr>
              <w:t>Development competence and capacity</w:t>
            </w:r>
            <w:r w:rsidRPr="007D760C">
              <w:rPr>
                <w:sz w:val="24"/>
                <w:szCs w:val="24"/>
                <w:lang w:val="en-GB"/>
              </w:rPr>
              <w:t xml:space="preserve"> </w:t>
            </w:r>
          </w:p>
          <w:p w:rsidR="00EB2D60" w:rsidRPr="007D760C" w:rsidRDefault="00917D3D" w:rsidP="00FD216C">
            <w:pPr>
              <w:rPr>
                <w:iCs/>
                <w:sz w:val="24"/>
                <w:szCs w:val="24"/>
                <w:lang w:val="en-GB"/>
              </w:rPr>
            </w:pPr>
            <w:r w:rsidRPr="007D760C">
              <w:rPr>
                <w:iCs/>
                <w:sz w:val="24"/>
                <w:szCs w:val="24"/>
                <w:lang w:val="en-GB"/>
              </w:rPr>
              <w:t xml:space="preserve">The applicant possesses professional and administrative competence and capacity to implement the planned </w:t>
            </w:r>
            <w:r w:rsidR="00E26D39">
              <w:rPr>
                <w:iCs/>
                <w:sz w:val="24"/>
                <w:szCs w:val="24"/>
                <w:lang w:val="en-GB"/>
              </w:rPr>
              <w:t>work</w:t>
            </w:r>
            <w:r w:rsidRPr="007D760C">
              <w:rPr>
                <w:iCs/>
                <w:sz w:val="24"/>
                <w:szCs w:val="24"/>
                <w:lang w:val="en-GB"/>
              </w:rPr>
              <w:t xml:space="preserve">. This includes </w:t>
            </w:r>
            <w:r w:rsidR="004A742C">
              <w:rPr>
                <w:iCs/>
                <w:sz w:val="24"/>
                <w:szCs w:val="24"/>
                <w:lang w:val="en-GB"/>
              </w:rPr>
              <w:t>knowledge about</w:t>
            </w:r>
            <w:r w:rsidR="00647E51">
              <w:rPr>
                <w:iCs/>
                <w:sz w:val="24"/>
                <w:szCs w:val="24"/>
                <w:lang w:val="en-GB"/>
              </w:rPr>
              <w:t xml:space="preserve"> the </w:t>
            </w:r>
            <w:proofErr w:type="gramStart"/>
            <w:r w:rsidR="00647E51">
              <w:rPr>
                <w:iCs/>
                <w:sz w:val="24"/>
                <w:szCs w:val="24"/>
                <w:lang w:val="en-GB"/>
              </w:rPr>
              <w:t>country(</w:t>
            </w:r>
            <w:proofErr w:type="spellStart"/>
            <w:proofErr w:type="gramEnd"/>
            <w:r w:rsidR="00647E51">
              <w:rPr>
                <w:iCs/>
                <w:sz w:val="24"/>
                <w:szCs w:val="24"/>
                <w:lang w:val="en-GB"/>
              </w:rPr>
              <w:t>ies</w:t>
            </w:r>
            <w:proofErr w:type="spellEnd"/>
            <w:r w:rsidR="00647E51">
              <w:rPr>
                <w:iCs/>
                <w:sz w:val="24"/>
                <w:szCs w:val="24"/>
                <w:lang w:val="en-GB"/>
              </w:rPr>
              <w:t>)</w:t>
            </w:r>
            <w:r w:rsidRPr="007D760C">
              <w:rPr>
                <w:iCs/>
                <w:sz w:val="24"/>
                <w:szCs w:val="24"/>
                <w:lang w:val="en-GB"/>
              </w:rPr>
              <w:t xml:space="preserve"> concerned</w:t>
            </w:r>
            <w:r w:rsidR="00F22E0B">
              <w:rPr>
                <w:iCs/>
                <w:sz w:val="24"/>
                <w:szCs w:val="24"/>
                <w:lang w:val="en-GB"/>
              </w:rPr>
              <w:t xml:space="preserve"> and relevant technical competence</w:t>
            </w:r>
            <w:r w:rsidRPr="007D760C">
              <w:rPr>
                <w:iCs/>
                <w:sz w:val="24"/>
                <w:szCs w:val="24"/>
                <w:lang w:val="en-GB"/>
              </w:rPr>
              <w:t>.</w:t>
            </w:r>
          </w:p>
          <w:p w:rsidR="007C6282" w:rsidRPr="007D760C" w:rsidRDefault="007C6282" w:rsidP="00917D3D">
            <w:pPr>
              <w:rPr>
                <w:sz w:val="24"/>
                <w:szCs w:val="24"/>
                <w:lang w:val="en-GB"/>
              </w:rPr>
            </w:pPr>
          </w:p>
        </w:tc>
      </w:tr>
      <w:tr w:rsidR="007C6282" w:rsidRPr="007C5834" w:rsidTr="006D70B1">
        <w:trPr>
          <w:trHeight w:val="567"/>
          <w:jc w:val="center"/>
        </w:trPr>
        <w:tc>
          <w:tcPr>
            <w:tcW w:w="9072"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sz w:val="24"/>
                <w:szCs w:val="24"/>
                <w:lang w:val="en-GB"/>
              </w:rPr>
            </w:pPr>
            <w:r w:rsidRPr="007D760C">
              <w:rPr>
                <w:b/>
                <w:sz w:val="24"/>
                <w:szCs w:val="24"/>
                <w:u w:val="single"/>
                <w:lang w:val="en-GB"/>
              </w:rPr>
              <w:t xml:space="preserve">Standard 3: </w:t>
            </w:r>
            <w:r w:rsidR="00917D3D" w:rsidRPr="007D760C">
              <w:rPr>
                <w:b/>
                <w:sz w:val="24"/>
                <w:szCs w:val="24"/>
                <w:u w:val="single"/>
                <w:lang w:val="en-GB"/>
              </w:rPr>
              <w:t xml:space="preserve">The organization’s financial sustainability </w:t>
            </w:r>
          </w:p>
          <w:p w:rsidR="00917D3D" w:rsidRPr="007D760C" w:rsidRDefault="00917D3D" w:rsidP="008A6FFC">
            <w:pPr>
              <w:rPr>
                <w:sz w:val="24"/>
                <w:szCs w:val="24"/>
                <w:lang w:val="en-GB"/>
              </w:rPr>
            </w:pPr>
            <w:r w:rsidRPr="007D760C">
              <w:rPr>
                <w:sz w:val="24"/>
                <w:szCs w:val="24"/>
                <w:lang w:val="en-GB"/>
              </w:rPr>
              <w:t>The applicant</w:t>
            </w:r>
            <w:r w:rsidR="00647E51">
              <w:rPr>
                <w:sz w:val="24"/>
                <w:szCs w:val="24"/>
                <w:lang w:val="en-GB"/>
              </w:rPr>
              <w:t xml:space="preserve"> documents </w:t>
            </w:r>
            <w:r w:rsidR="00647E51" w:rsidRPr="007D760C">
              <w:rPr>
                <w:sz w:val="24"/>
                <w:szCs w:val="24"/>
                <w:lang w:val="en-GB"/>
              </w:rPr>
              <w:t>financial sustainability</w:t>
            </w:r>
            <w:r w:rsidR="00647E51">
              <w:rPr>
                <w:sz w:val="24"/>
                <w:szCs w:val="24"/>
                <w:lang w:val="en-GB"/>
              </w:rPr>
              <w:t xml:space="preserve"> by providing</w:t>
            </w:r>
            <w:r w:rsidRPr="007D760C">
              <w:rPr>
                <w:sz w:val="24"/>
                <w:szCs w:val="24"/>
                <w:lang w:val="en-GB"/>
              </w:rPr>
              <w:t xml:space="preserve"> an overview of </w:t>
            </w:r>
            <w:r w:rsidR="007D760C">
              <w:rPr>
                <w:sz w:val="24"/>
                <w:szCs w:val="24"/>
                <w:lang w:val="en-GB"/>
              </w:rPr>
              <w:t>all</w:t>
            </w:r>
            <w:r w:rsidRPr="007D760C">
              <w:rPr>
                <w:sz w:val="24"/>
                <w:szCs w:val="24"/>
                <w:lang w:val="en-GB"/>
              </w:rPr>
              <w:t xml:space="preserve"> sources of revenue in addition to public funding </w:t>
            </w:r>
            <w:r w:rsidR="00647E51">
              <w:rPr>
                <w:sz w:val="24"/>
                <w:szCs w:val="24"/>
                <w:lang w:val="en-GB"/>
              </w:rPr>
              <w:t xml:space="preserve">and can provide a minimum of 10% of project costs (where required by </w:t>
            </w:r>
            <w:r w:rsidR="00B3396F">
              <w:rPr>
                <w:sz w:val="24"/>
                <w:szCs w:val="24"/>
                <w:lang w:val="en-GB"/>
              </w:rPr>
              <w:t>the respective Grant Scheme Rules</w:t>
            </w:r>
            <w:r w:rsidR="00647E51">
              <w:rPr>
                <w:sz w:val="24"/>
                <w:szCs w:val="24"/>
                <w:lang w:val="en-GB"/>
              </w:rPr>
              <w:t>)</w:t>
            </w:r>
            <w:r w:rsidRPr="007D760C">
              <w:rPr>
                <w:sz w:val="24"/>
                <w:szCs w:val="24"/>
                <w:lang w:val="en-GB"/>
              </w:rPr>
              <w:t>.</w:t>
            </w:r>
            <w:r w:rsidR="00647E51">
              <w:rPr>
                <w:sz w:val="24"/>
                <w:szCs w:val="24"/>
                <w:lang w:val="en-GB"/>
              </w:rPr>
              <w:t xml:space="preserve">  The applicant also has sufficient equity to allow for some level of lack of funds over a certain period or cover possible losses (i.e. </w:t>
            </w:r>
            <w:r w:rsidR="00B3396F">
              <w:rPr>
                <w:sz w:val="24"/>
                <w:szCs w:val="24"/>
                <w:lang w:val="en-GB"/>
              </w:rPr>
              <w:t xml:space="preserve">related to </w:t>
            </w:r>
            <w:r w:rsidR="00F22E0B">
              <w:rPr>
                <w:sz w:val="24"/>
                <w:szCs w:val="24"/>
                <w:lang w:val="en-GB"/>
              </w:rPr>
              <w:t xml:space="preserve">possible </w:t>
            </w:r>
            <w:r w:rsidR="00B3396F">
              <w:rPr>
                <w:sz w:val="24"/>
                <w:szCs w:val="24"/>
                <w:lang w:val="en-GB"/>
              </w:rPr>
              <w:t xml:space="preserve">fraud). </w:t>
            </w:r>
          </w:p>
          <w:p w:rsidR="00DF4BC3" w:rsidRPr="007D760C" w:rsidRDefault="00DF4BC3" w:rsidP="00917D3D">
            <w:pPr>
              <w:rPr>
                <w:sz w:val="24"/>
                <w:szCs w:val="24"/>
                <w:u w:val="single"/>
                <w:lang w:val="en-GB"/>
              </w:rPr>
            </w:pPr>
          </w:p>
        </w:tc>
      </w:tr>
      <w:tr w:rsidR="007C6282" w:rsidRPr="007D760C" w:rsidTr="006D70B1">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sz w:val="24"/>
                <w:szCs w:val="24"/>
                <w:lang w:val="en-GB"/>
              </w:rPr>
            </w:pPr>
            <w:r w:rsidRPr="007D760C">
              <w:rPr>
                <w:b/>
                <w:sz w:val="24"/>
                <w:szCs w:val="24"/>
                <w:u w:val="single"/>
                <w:lang w:val="en-GB"/>
              </w:rPr>
              <w:t xml:space="preserve">Standard 4: </w:t>
            </w:r>
            <w:r w:rsidR="00917D3D" w:rsidRPr="007D760C">
              <w:rPr>
                <w:b/>
                <w:sz w:val="24"/>
                <w:szCs w:val="24"/>
                <w:u w:val="single"/>
                <w:lang w:val="en-GB"/>
              </w:rPr>
              <w:t xml:space="preserve">Financial management </w:t>
            </w:r>
          </w:p>
          <w:p w:rsidR="007C6282" w:rsidRPr="007D760C" w:rsidRDefault="00917D3D">
            <w:pPr>
              <w:rPr>
                <w:sz w:val="24"/>
                <w:szCs w:val="24"/>
                <w:lang w:val="en-GB"/>
              </w:rPr>
            </w:pPr>
            <w:r w:rsidRPr="007D760C">
              <w:rPr>
                <w:sz w:val="24"/>
                <w:szCs w:val="24"/>
                <w:lang w:val="en-GB"/>
              </w:rPr>
              <w:t xml:space="preserve">The applicant exercises appropriate internal financial management and </w:t>
            </w:r>
            <w:r w:rsidR="00E26D39">
              <w:rPr>
                <w:sz w:val="24"/>
                <w:szCs w:val="24"/>
                <w:lang w:val="en-GB"/>
              </w:rPr>
              <w:t>adequate</w:t>
            </w:r>
            <w:r w:rsidR="00E26D39" w:rsidRPr="007D760C">
              <w:rPr>
                <w:sz w:val="24"/>
                <w:szCs w:val="24"/>
                <w:lang w:val="en-GB"/>
              </w:rPr>
              <w:t xml:space="preserve"> </w:t>
            </w:r>
            <w:r w:rsidRPr="007D760C">
              <w:rPr>
                <w:sz w:val="24"/>
                <w:szCs w:val="24"/>
                <w:lang w:val="en-GB"/>
              </w:rPr>
              <w:t xml:space="preserve">follow-up and monitoring of partners. Financial </w:t>
            </w:r>
            <w:r w:rsidR="00C47260">
              <w:rPr>
                <w:sz w:val="24"/>
                <w:szCs w:val="24"/>
                <w:lang w:val="en-GB"/>
              </w:rPr>
              <w:t xml:space="preserve">irregularities </w:t>
            </w:r>
            <w:proofErr w:type="gramStart"/>
            <w:r w:rsidR="00C47260">
              <w:rPr>
                <w:sz w:val="24"/>
                <w:szCs w:val="24"/>
                <w:lang w:val="en-GB"/>
              </w:rPr>
              <w:t>are</w:t>
            </w:r>
            <w:r w:rsidRPr="007D760C">
              <w:rPr>
                <w:sz w:val="24"/>
                <w:szCs w:val="24"/>
                <w:lang w:val="en-GB"/>
              </w:rPr>
              <w:t xml:space="preserve"> prevented, disclosed and actively followed up at all levels</w:t>
            </w:r>
            <w:proofErr w:type="gramEnd"/>
            <w:r w:rsidRPr="007D760C">
              <w:rPr>
                <w:sz w:val="24"/>
                <w:szCs w:val="24"/>
                <w:lang w:val="en-GB"/>
              </w:rPr>
              <w:t xml:space="preserve">. The applicant undertakes a background check of its partners (e.g. </w:t>
            </w:r>
            <w:r w:rsidRPr="007D760C">
              <w:rPr>
                <w:i/>
                <w:sz w:val="24"/>
                <w:szCs w:val="24"/>
                <w:lang w:val="en-GB"/>
              </w:rPr>
              <w:t>due diligence</w:t>
            </w:r>
            <w:r w:rsidRPr="007D760C">
              <w:rPr>
                <w:sz w:val="24"/>
                <w:szCs w:val="24"/>
                <w:lang w:val="en-GB"/>
              </w:rPr>
              <w:t>). The applicant adheres to established routines to avoid corruption.</w:t>
            </w:r>
          </w:p>
          <w:p w:rsidR="00DF4BC3" w:rsidRPr="007D760C" w:rsidRDefault="00DF4BC3">
            <w:pPr>
              <w:rPr>
                <w:sz w:val="24"/>
                <w:szCs w:val="24"/>
                <w:u w:val="single"/>
                <w:lang w:val="en-GB"/>
              </w:rPr>
            </w:pPr>
          </w:p>
        </w:tc>
      </w:tr>
    </w:tbl>
    <w:p w:rsidR="007C6282" w:rsidRPr="007D760C" w:rsidRDefault="007C6282" w:rsidP="007C6282">
      <w:pPr>
        <w:rPr>
          <w:sz w:val="24"/>
          <w:szCs w:val="24"/>
          <w:lang w:val="en-GB"/>
        </w:rPr>
      </w:pPr>
    </w:p>
    <w:tbl>
      <w:tblPr>
        <w:tblStyle w:val="TableGrid"/>
        <w:tblW w:w="9071" w:type="dxa"/>
        <w:jc w:val="center"/>
        <w:tblLayout w:type="fixed"/>
        <w:tblLook w:val="04A0" w:firstRow="1" w:lastRow="0" w:firstColumn="1" w:lastColumn="0" w:noHBand="0" w:noVBand="1"/>
      </w:tblPr>
      <w:tblGrid>
        <w:gridCol w:w="9071"/>
      </w:tblGrid>
      <w:tr w:rsidR="007C6282" w:rsidRPr="007D760C" w:rsidTr="00FD216C">
        <w:trPr>
          <w:trHeight w:val="675"/>
          <w:jc w:val="center"/>
        </w:trPr>
        <w:tc>
          <w:tcPr>
            <w:tcW w:w="9071" w:type="dxa"/>
            <w:shd w:val="clear" w:color="auto" w:fill="8496B0" w:themeFill="text2" w:themeFillTint="99"/>
            <w:vAlign w:val="center"/>
          </w:tcPr>
          <w:p w:rsidR="007C6282" w:rsidRPr="007D760C" w:rsidRDefault="007C6282" w:rsidP="00917D3D">
            <w:pPr>
              <w:jc w:val="center"/>
              <w:rPr>
                <w:b/>
                <w:sz w:val="24"/>
                <w:szCs w:val="24"/>
                <w:lang w:val="en-GB"/>
              </w:rPr>
            </w:pPr>
            <w:r w:rsidRPr="007D760C">
              <w:rPr>
                <w:sz w:val="24"/>
                <w:szCs w:val="24"/>
                <w:lang w:val="en-GB"/>
              </w:rPr>
              <w:br w:type="page"/>
            </w:r>
            <w:r w:rsidRPr="007D760C">
              <w:rPr>
                <w:b/>
                <w:sz w:val="24"/>
                <w:szCs w:val="24"/>
                <w:lang w:val="en-GB"/>
              </w:rPr>
              <w:t>PROGRAM</w:t>
            </w:r>
            <w:r w:rsidR="00917D3D" w:rsidRPr="007D760C">
              <w:rPr>
                <w:b/>
                <w:sz w:val="24"/>
                <w:szCs w:val="24"/>
                <w:lang w:val="en-GB"/>
              </w:rPr>
              <w:t xml:space="preserve">ME AND </w:t>
            </w:r>
            <w:r w:rsidRPr="007D760C">
              <w:rPr>
                <w:b/>
                <w:sz w:val="24"/>
                <w:szCs w:val="24"/>
                <w:lang w:val="en-GB"/>
              </w:rPr>
              <w:t>PROJE</w:t>
            </w:r>
            <w:r w:rsidR="00917D3D" w:rsidRPr="007D760C">
              <w:rPr>
                <w:b/>
                <w:sz w:val="24"/>
                <w:szCs w:val="24"/>
                <w:lang w:val="en-GB"/>
              </w:rPr>
              <w:t>C</w:t>
            </w:r>
            <w:r w:rsidRPr="007D760C">
              <w:rPr>
                <w:b/>
                <w:sz w:val="24"/>
                <w:szCs w:val="24"/>
                <w:lang w:val="en-GB"/>
              </w:rPr>
              <w:t>T</w:t>
            </w:r>
            <w:r w:rsidR="00917D3D" w:rsidRPr="007D760C">
              <w:rPr>
                <w:b/>
                <w:sz w:val="24"/>
                <w:szCs w:val="24"/>
                <w:lang w:val="en-GB"/>
              </w:rPr>
              <w:t xml:space="preserve"> PLANS</w:t>
            </w: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D26AF5" w:rsidRPr="007D760C" w:rsidRDefault="00D26AF5" w:rsidP="00D26AF5">
            <w:pPr>
              <w:rPr>
                <w:sz w:val="24"/>
                <w:szCs w:val="24"/>
                <w:lang w:val="en-GB"/>
              </w:rPr>
            </w:pPr>
            <w:r w:rsidRPr="007D760C">
              <w:rPr>
                <w:b/>
                <w:sz w:val="24"/>
                <w:szCs w:val="24"/>
                <w:u w:val="single"/>
                <w:lang w:val="en-GB"/>
              </w:rPr>
              <w:t xml:space="preserve">Standard 5: </w:t>
            </w:r>
            <w:r w:rsidR="00917D3D" w:rsidRPr="007D760C">
              <w:rPr>
                <w:b/>
                <w:sz w:val="24"/>
                <w:szCs w:val="24"/>
                <w:u w:val="single"/>
                <w:lang w:val="en-GB"/>
              </w:rPr>
              <w:t xml:space="preserve">Norwegian </w:t>
            </w:r>
            <w:r w:rsidR="001C0FF1" w:rsidRPr="007D760C">
              <w:rPr>
                <w:b/>
                <w:sz w:val="24"/>
                <w:szCs w:val="24"/>
                <w:u w:val="single"/>
                <w:lang w:val="en-GB"/>
              </w:rPr>
              <w:t xml:space="preserve">priorities for development policy </w:t>
            </w:r>
          </w:p>
          <w:p w:rsidR="007C6282" w:rsidRDefault="001C0FF1" w:rsidP="00C47260">
            <w:pPr>
              <w:rPr>
                <w:bCs/>
                <w:sz w:val="24"/>
                <w:szCs w:val="24"/>
                <w:lang w:val="en-GB"/>
              </w:rPr>
            </w:pPr>
            <w:r w:rsidRPr="007D760C">
              <w:rPr>
                <w:bCs/>
                <w:sz w:val="24"/>
                <w:szCs w:val="24"/>
                <w:lang w:val="en-GB"/>
              </w:rPr>
              <w:t xml:space="preserve">The applicant’s plans are relevant for the </w:t>
            </w:r>
            <w:r w:rsidR="00E26D39">
              <w:rPr>
                <w:bCs/>
                <w:sz w:val="24"/>
                <w:szCs w:val="24"/>
                <w:lang w:val="en-GB"/>
              </w:rPr>
              <w:t>objectives</w:t>
            </w:r>
            <w:r w:rsidR="00E26D39" w:rsidRPr="007D760C">
              <w:rPr>
                <w:bCs/>
                <w:sz w:val="24"/>
                <w:szCs w:val="24"/>
                <w:lang w:val="en-GB"/>
              </w:rPr>
              <w:t xml:space="preserve"> </w:t>
            </w:r>
            <w:r w:rsidRPr="007D760C">
              <w:rPr>
                <w:bCs/>
                <w:sz w:val="24"/>
                <w:szCs w:val="24"/>
                <w:lang w:val="en-GB"/>
              </w:rPr>
              <w:t xml:space="preserve">and target groups </w:t>
            </w:r>
            <w:r w:rsidR="00B3396F">
              <w:rPr>
                <w:bCs/>
                <w:sz w:val="24"/>
                <w:szCs w:val="24"/>
                <w:lang w:val="en-GB"/>
              </w:rPr>
              <w:t xml:space="preserve">as </w:t>
            </w:r>
            <w:r w:rsidRPr="007D760C">
              <w:rPr>
                <w:bCs/>
                <w:sz w:val="24"/>
                <w:szCs w:val="24"/>
                <w:lang w:val="en-GB"/>
              </w:rPr>
              <w:t xml:space="preserve">described in the </w:t>
            </w:r>
            <w:r w:rsidR="00C47260">
              <w:rPr>
                <w:bCs/>
                <w:sz w:val="24"/>
                <w:szCs w:val="24"/>
                <w:lang w:val="en-GB"/>
              </w:rPr>
              <w:t>N</w:t>
            </w:r>
            <w:r w:rsidRPr="007D760C">
              <w:rPr>
                <w:bCs/>
                <w:sz w:val="24"/>
                <w:szCs w:val="24"/>
                <w:lang w:val="en-GB"/>
              </w:rPr>
              <w:t xml:space="preserve">ational </w:t>
            </w:r>
            <w:r w:rsidR="00C47260">
              <w:rPr>
                <w:bCs/>
                <w:sz w:val="24"/>
                <w:szCs w:val="24"/>
                <w:lang w:val="en-GB"/>
              </w:rPr>
              <w:t>B</w:t>
            </w:r>
            <w:r w:rsidRPr="007D760C">
              <w:rPr>
                <w:bCs/>
                <w:sz w:val="24"/>
                <w:szCs w:val="24"/>
                <w:lang w:val="en-GB"/>
              </w:rPr>
              <w:t xml:space="preserve">udget (Budget Proposition 1 S, </w:t>
            </w:r>
            <w:r w:rsidR="00096C98">
              <w:rPr>
                <w:bCs/>
                <w:sz w:val="24"/>
                <w:szCs w:val="24"/>
                <w:lang w:val="en-GB"/>
              </w:rPr>
              <w:t>budget</w:t>
            </w:r>
            <w:r w:rsidRPr="007D760C">
              <w:rPr>
                <w:bCs/>
                <w:sz w:val="24"/>
                <w:szCs w:val="24"/>
                <w:lang w:val="en-GB"/>
              </w:rPr>
              <w:t xml:space="preserve"> item 160.70) and the </w:t>
            </w:r>
            <w:proofErr w:type="spellStart"/>
            <w:r w:rsidRPr="007D760C">
              <w:rPr>
                <w:bCs/>
                <w:sz w:val="24"/>
                <w:szCs w:val="24"/>
                <w:lang w:val="en-GB"/>
              </w:rPr>
              <w:t>Storting’s</w:t>
            </w:r>
            <w:proofErr w:type="spellEnd"/>
            <w:r w:rsidRPr="007D760C">
              <w:rPr>
                <w:bCs/>
                <w:sz w:val="24"/>
                <w:szCs w:val="24"/>
                <w:lang w:val="en-GB"/>
              </w:rPr>
              <w:t xml:space="preserve"> deliberations of the same.</w:t>
            </w:r>
            <w:r w:rsidR="00B3396F">
              <w:rPr>
                <w:bCs/>
                <w:sz w:val="24"/>
                <w:szCs w:val="24"/>
                <w:lang w:val="en-GB"/>
              </w:rPr>
              <w:t xml:space="preserve">  The plans fits with development priorities within central thematic areas. </w:t>
            </w:r>
          </w:p>
          <w:p w:rsidR="006D70B1" w:rsidRPr="007D760C" w:rsidRDefault="006D70B1" w:rsidP="00C47260">
            <w:pPr>
              <w:rPr>
                <w:sz w:val="24"/>
                <w:szCs w:val="24"/>
                <w:u w:val="single"/>
                <w:lang w:val="en-GB"/>
              </w:rPr>
            </w:pPr>
          </w:p>
        </w:tc>
      </w:tr>
      <w:tr w:rsidR="002E1A49" w:rsidRPr="007C5834" w:rsidTr="00EE35E1">
        <w:trPr>
          <w:trHeight w:val="567"/>
          <w:jc w:val="center"/>
        </w:trPr>
        <w:tc>
          <w:tcPr>
            <w:tcW w:w="9071" w:type="dxa"/>
            <w:shd w:val="clear" w:color="auto" w:fill="auto"/>
          </w:tcPr>
          <w:p w:rsidR="002E1A49" w:rsidRPr="007D760C" w:rsidRDefault="002E1A49" w:rsidP="00EE35E1">
            <w:pPr>
              <w:rPr>
                <w:b/>
                <w:sz w:val="24"/>
                <w:szCs w:val="24"/>
                <w:u w:val="single"/>
                <w:lang w:val="en-GB"/>
              </w:rPr>
            </w:pPr>
          </w:p>
          <w:p w:rsidR="00D80BDC" w:rsidRDefault="00D80BDC" w:rsidP="002E1A49">
            <w:pPr>
              <w:rPr>
                <w:b/>
                <w:sz w:val="24"/>
                <w:szCs w:val="24"/>
                <w:u w:val="single"/>
                <w:lang w:val="en-GB"/>
              </w:rPr>
            </w:pPr>
          </w:p>
          <w:p w:rsidR="00D80BDC" w:rsidRDefault="00D80BDC" w:rsidP="002E1A49">
            <w:pPr>
              <w:rPr>
                <w:b/>
                <w:sz w:val="24"/>
                <w:szCs w:val="24"/>
                <w:u w:val="single"/>
                <w:lang w:val="en-GB"/>
              </w:rPr>
            </w:pPr>
          </w:p>
          <w:p w:rsidR="002E1A49" w:rsidRPr="007D760C" w:rsidRDefault="002E1A49" w:rsidP="002E1A49">
            <w:pPr>
              <w:rPr>
                <w:sz w:val="24"/>
                <w:szCs w:val="24"/>
                <w:lang w:val="en-GB"/>
              </w:rPr>
            </w:pPr>
            <w:r w:rsidRPr="007D760C">
              <w:rPr>
                <w:b/>
                <w:sz w:val="24"/>
                <w:szCs w:val="24"/>
                <w:u w:val="single"/>
                <w:lang w:val="en-GB"/>
              </w:rPr>
              <w:t xml:space="preserve">Standard 6: </w:t>
            </w:r>
            <w:r w:rsidR="001C0FF1" w:rsidRPr="007D760C">
              <w:rPr>
                <w:b/>
                <w:sz w:val="24"/>
                <w:szCs w:val="24"/>
                <w:u w:val="single"/>
                <w:lang w:val="en-GB"/>
              </w:rPr>
              <w:t>C</w:t>
            </w:r>
            <w:r w:rsidRPr="007D760C">
              <w:rPr>
                <w:b/>
                <w:sz w:val="24"/>
                <w:szCs w:val="24"/>
                <w:u w:val="single"/>
                <w:lang w:val="en-GB"/>
              </w:rPr>
              <w:t>onte</w:t>
            </w:r>
            <w:r w:rsidR="001C0FF1" w:rsidRPr="007D760C">
              <w:rPr>
                <w:b/>
                <w:sz w:val="24"/>
                <w:szCs w:val="24"/>
                <w:u w:val="single"/>
                <w:lang w:val="en-GB"/>
              </w:rPr>
              <w:t>x</w:t>
            </w:r>
            <w:r w:rsidRPr="007D760C">
              <w:rPr>
                <w:b/>
                <w:sz w:val="24"/>
                <w:szCs w:val="24"/>
                <w:u w:val="single"/>
                <w:lang w:val="en-GB"/>
              </w:rPr>
              <w:t>t</w:t>
            </w:r>
            <w:r w:rsidR="001C0FF1" w:rsidRPr="007D760C">
              <w:rPr>
                <w:b/>
                <w:sz w:val="24"/>
                <w:szCs w:val="24"/>
                <w:u w:val="single"/>
                <w:lang w:val="en-GB"/>
              </w:rPr>
              <w:t xml:space="preserve"> </w:t>
            </w:r>
            <w:r w:rsidRPr="007D760C">
              <w:rPr>
                <w:b/>
                <w:sz w:val="24"/>
                <w:szCs w:val="24"/>
                <w:u w:val="single"/>
                <w:lang w:val="en-GB"/>
              </w:rPr>
              <w:t>analys</w:t>
            </w:r>
            <w:r w:rsidR="001C0FF1" w:rsidRPr="007D760C">
              <w:rPr>
                <w:b/>
                <w:sz w:val="24"/>
                <w:szCs w:val="24"/>
                <w:u w:val="single"/>
                <w:lang w:val="en-GB"/>
              </w:rPr>
              <w:t>is</w:t>
            </w:r>
            <w:r w:rsidRPr="007D760C">
              <w:rPr>
                <w:b/>
                <w:sz w:val="24"/>
                <w:szCs w:val="24"/>
                <w:u w:val="single"/>
                <w:lang w:val="en-GB"/>
              </w:rPr>
              <w:t xml:space="preserve"> </w:t>
            </w:r>
            <w:r w:rsidR="001C0FF1" w:rsidRPr="007D760C">
              <w:rPr>
                <w:b/>
                <w:sz w:val="24"/>
                <w:szCs w:val="24"/>
                <w:u w:val="single"/>
                <w:lang w:val="en-GB"/>
              </w:rPr>
              <w:t xml:space="preserve">and local needs </w:t>
            </w:r>
          </w:p>
          <w:p w:rsidR="001C0FF1" w:rsidRPr="007D760C" w:rsidRDefault="001C0FF1" w:rsidP="006D70B1">
            <w:pPr>
              <w:rPr>
                <w:sz w:val="24"/>
                <w:szCs w:val="24"/>
                <w:u w:val="single"/>
                <w:lang w:val="en-GB"/>
              </w:rPr>
            </w:pPr>
            <w:r w:rsidRPr="007D760C">
              <w:rPr>
                <w:sz w:val="24"/>
                <w:szCs w:val="24"/>
                <w:lang w:val="en-GB"/>
              </w:rPr>
              <w:lastRenderedPageBreak/>
              <w:t xml:space="preserve">The applicant’s plans for the </w:t>
            </w:r>
            <w:r w:rsidR="00E26D39">
              <w:rPr>
                <w:sz w:val="24"/>
                <w:szCs w:val="24"/>
                <w:lang w:val="en-GB"/>
              </w:rPr>
              <w:t>work</w:t>
            </w:r>
            <w:r w:rsidR="00E26D39" w:rsidRPr="007D760C">
              <w:rPr>
                <w:sz w:val="24"/>
                <w:szCs w:val="24"/>
                <w:lang w:val="en-GB"/>
              </w:rPr>
              <w:t xml:space="preserve"> </w:t>
            </w:r>
            <w:proofErr w:type="gramStart"/>
            <w:r w:rsidRPr="007D760C">
              <w:rPr>
                <w:sz w:val="24"/>
                <w:szCs w:val="24"/>
                <w:lang w:val="en-GB"/>
              </w:rPr>
              <w:t>are b</w:t>
            </w:r>
            <w:r w:rsidR="00B3396F">
              <w:rPr>
                <w:sz w:val="24"/>
                <w:szCs w:val="24"/>
                <w:lang w:val="en-GB"/>
              </w:rPr>
              <w:t>ased</w:t>
            </w:r>
            <w:proofErr w:type="gramEnd"/>
            <w:r w:rsidR="00B3396F">
              <w:rPr>
                <w:sz w:val="24"/>
                <w:szCs w:val="24"/>
                <w:lang w:val="en-GB"/>
              </w:rPr>
              <w:t xml:space="preserve"> on credible context analysi</w:t>
            </w:r>
            <w:r w:rsidRPr="007D760C">
              <w:rPr>
                <w:sz w:val="24"/>
                <w:szCs w:val="24"/>
                <w:lang w:val="en-GB"/>
              </w:rPr>
              <w:t xml:space="preserve">s. The plans appear to be relevant </w:t>
            </w:r>
            <w:r w:rsidR="00E26D39">
              <w:rPr>
                <w:sz w:val="24"/>
                <w:szCs w:val="24"/>
                <w:lang w:val="en-GB"/>
              </w:rPr>
              <w:t>and</w:t>
            </w:r>
            <w:r w:rsidRPr="007D760C">
              <w:rPr>
                <w:sz w:val="24"/>
                <w:szCs w:val="24"/>
                <w:lang w:val="en-GB"/>
              </w:rPr>
              <w:t xml:space="preserve"> realistic. The plans </w:t>
            </w:r>
            <w:proofErr w:type="gramStart"/>
            <w:r w:rsidRPr="007D760C">
              <w:rPr>
                <w:sz w:val="24"/>
                <w:szCs w:val="24"/>
                <w:lang w:val="en-GB"/>
              </w:rPr>
              <w:t>are based</w:t>
            </w:r>
            <w:proofErr w:type="gramEnd"/>
            <w:r w:rsidRPr="007D760C">
              <w:rPr>
                <w:sz w:val="24"/>
                <w:szCs w:val="24"/>
                <w:lang w:val="en-GB"/>
              </w:rPr>
              <w:t xml:space="preserve"> on real needs among target groups and civil society in the target country, the country’s own development </w:t>
            </w:r>
            <w:r w:rsidR="00E26D39">
              <w:rPr>
                <w:sz w:val="24"/>
                <w:szCs w:val="24"/>
                <w:lang w:val="en-GB"/>
              </w:rPr>
              <w:t xml:space="preserve">plans </w:t>
            </w:r>
            <w:r w:rsidRPr="007D760C">
              <w:rPr>
                <w:sz w:val="24"/>
                <w:szCs w:val="24"/>
                <w:lang w:val="en-GB"/>
              </w:rPr>
              <w:t xml:space="preserve">and the </w:t>
            </w:r>
            <w:r w:rsidR="00E26D39">
              <w:rPr>
                <w:sz w:val="24"/>
                <w:szCs w:val="24"/>
                <w:lang w:val="en-GB"/>
              </w:rPr>
              <w:t xml:space="preserve">work of </w:t>
            </w:r>
            <w:r w:rsidRPr="007D760C">
              <w:rPr>
                <w:sz w:val="24"/>
                <w:szCs w:val="24"/>
                <w:lang w:val="en-GB"/>
              </w:rPr>
              <w:t>other actors.</w:t>
            </w:r>
          </w:p>
        </w:tc>
      </w:tr>
    </w:tbl>
    <w:p w:rsidR="002E1A49" w:rsidRPr="007D760C" w:rsidRDefault="002E1A49" w:rsidP="007C6282">
      <w:pPr>
        <w:rPr>
          <w:sz w:val="24"/>
          <w:szCs w:val="24"/>
          <w:lang w:val="en-GB"/>
        </w:rPr>
      </w:pPr>
    </w:p>
    <w:tbl>
      <w:tblPr>
        <w:tblStyle w:val="TableGrid"/>
        <w:tblW w:w="9071" w:type="dxa"/>
        <w:jc w:val="center"/>
        <w:tblLayout w:type="fixed"/>
        <w:tblLook w:val="04A0" w:firstRow="1" w:lastRow="0" w:firstColumn="1" w:lastColumn="0" w:noHBand="0" w:noVBand="1"/>
      </w:tblPr>
      <w:tblGrid>
        <w:gridCol w:w="9071"/>
      </w:tblGrid>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lang w:val="en-GB"/>
              </w:rPr>
            </w:pPr>
            <w:r w:rsidRPr="007D760C">
              <w:rPr>
                <w:b/>
                <w:sz w:val="24"/>
                <w:szCs w:val="24"/>
                <w:u w:val="single"/>
                <w:lang w:val="en-GB"/>
              </w:rPr>
              <w:t xml:space="preserve">Standard </w:t>
            </w:r>
            <w:r w:rsidR="00D26AF5" w:rsidRPr="007D760C">
              <w:rPr>
                <w:b/>
                <w:sz w:val="24"/>
                <w:szCs w:val="24"/>
                <w:u w:val="single"/>
                <w:lang w:val="en-GB"/>
              </w:rPr>
              <w:t>7</w:t>
            </w:r>
            <w:r w:rsidR="001C0FF1" w:rsidRPr="007D760C">
              <w:rPr>
                <w:b/>
                <w:sz w:val="24"/>
                <w:szCs w:val="24"/>
                <w:u w:val="single"/>
                <w:lang w:val="en-GB"/>
              </w:rPr>
              <w:t>: Partners</w:t>
            </w:r>
          </w:p>
          <w:p w:rsidR="001C0FF1" w:rsidRPr="007D760C" w:rsidRDefault="001C0FF1">
            <w:pPr>
              <w:rPr>
                <w:sz w:val="24"/>
                <w:szCs w:val="24"/>
                <w:lang w:val="en-GB"/>
              </w:rPr>
            </w:pPr>
            <w:r w:rsidRPr="007D760C">
              <w:rPr>
                <w:sz w:val="24"/>
                <w:szCs w:val="24"/>
                <w:lang w:val="en-GB"/>
              </w:rPr>
              <w:t xml:space="preserve">The </w:t>
            </w:r>
            <w:r w:rsidR="00B2627C" w:rsidRPr="007D760C">
              <w:rPr>
                <w:sz w:val="24"/>
                <w:szCs w:val="24"/>
                <w:lang w:val="en-GB"/>
              </w:rPr>
              <w:t xml:space="preserve">choice of </w:t>
            </w:r>
            <w:r w:rsidR="0063559D">
              <w:rPr>
                <w:sz w:val="24"/>
                <w:szCs w:val="24"/>
                <w:lang w:val="en-GB"/>
              </w:rPr>
              <w:t>cooperating</w:t>
            </w:r>
            <w:r w:rsidR="00B2627C" w:rsidRPr="007D760C">
              <w:rPr>
                <w:sz w:val="24"/>
                <w:szCs w:val="24"/>
                <w:lang w:val="en-GB"/>
              </w:rPr>
              <w:t xml:space="preserve"> partners </w:t>
            </w:r>
            <w:proofErr w:type="gramStart"/>
            <w:r w:rsidR="00B2627C" w:rsidRPr="007D760C">
              <w:rPr>
                <w:sz w:val="24"/>
                <w:szCs w:val="24"/>
                <w:lang w:val="en-GB"/>
              </w:rPr>
              <w:t>is well argued</w:t>
            </w:r>
            <w:proofErr w:type="gramEnd"/>
            <w:r w:rsidR="00B2627C" w:rsidRPr="007D760C">
              <w:rPr>
                <w:sz w:val="24"/>
                <w:szCs w:val="24"/>
                <w:lang w:val="en-GB"/>
              </w:rPr>
              <w:t>, and the applicant demonstrates reflection on the partnership model. The applicant documents that the legitimacy of all partners</w:t>
            </w:r>
            <w:bookmarkStart w:id="0" w:name="_GoBack"/>
            <w:bookmarkEnd w:id="0"/>
            <w:r w:rsidR="00B2627C" w:rsidRPr="007D760C">
              <w:rPr>
                <w:sz w:val="24"/>
                <w:szCs w:val="24"/>
                <w:lang w:val="en-GB"/>
              </w:rPr>
              <w:t xml:space="preserve"> </w:t>
            </w:r>
            <w:proofErr w:type="gramStart"/>
            <w:r w:rsidR="00B2627C" w:rsidRPr="007D760C">
              <w:rPr>
                <w:sz w:val="24"/>
                <w:szCs w:val="24"/>
                <w:lang w:val="en-GB"/>
              </w:rPr>
              <w:t>has been assessed</w:t>
            </w:r>
            <w:proofErr w:type="gramEnd"/>
            <w:r w:rsidR="00B2627C" w:rsidRPr="007D760C">
              <w:rPr>
                <w:sz w:val="24"/>
                <w:szCs w:val="24"/>
                <w:lang w:val="en-GB"/>
              </w:rPr>
              <w:t xml:space="preserve">. The applicant </w:t>
            </w:r>
            <w:r w:rsidR="0063559D">
              <w:rPr>
                <w:sz w:val="24"/>
                <w:szCs w:val="24"/>
                <w:lang w:val="en-GB"/>
              </w:rPr>
              <w:t>systematically seeks</w:t>
            </w:r>
            <w:r w:rsidR="00B2627C" w:rsidRPr="007D760C">
              <w:rPr>
                <w:sz w:val="24"/>
                <w:szCs w:val="24"/>
                <w:lang w:val="en-GB"/>
              </w:rPr>
              <w:t xml:space="preserve"> to estab</w:t>
            </w:r>
            <w:r w:rsidR="0063559D">
              <w:rPr>
                <w:sz w:val="24"/>
                <w:szCs w:val="24"/>
                <w:lang w:val="en-GB"/>
              </w:rPr>
              <w:t>lish or maintain equal</w:t>
            </w:r>
            <w:r w:rsidR="00B2627C" w:rsidRPr="007D760C">
              <w:rPr>
                <w:sz w:val="24"/>
                <w:szCs w:val="24"/>
                <w:lang w:val="en-GB"/>
              </w:rPr>
              <w:t xml:space="preserve"> relations </w:t>
            </w:r>
            <w:r w:rsidR="00E26D39">
              <w:rPr>
                <w:sz w:val="24"/>
                <w:szCs w:val="24"/>
                <w:lang w:val="en-GB"/>
              </w:rPr>
              <w:t>with</w:t>
            </w:r>
            <w:r w:rsidR="00E26D39" w:rsidRPr="007D760C">
              <w:rPr>
                <w:sz w:val="24"/>
                <w:szCs w:val="24"/>
                <w:lang w:val="en-GB"/>
              </w:rPr>
              <w:t xml:space="preserve"> </w:t>
            </w:r>
            <w:r w:rsidR="0063559D">
              <w:rPr>
                <w:sz w:val="24"/>
                <w:szCs w:val="24"/>
                <w:lang w:val="en-GB"/>
              </w:rPr>
              <w:t>its</w:t>
            </w:r>
            <w:r w:rsidR="00B2627C" w:rsidRPr="007D760C">
              <w:rPr>
                <w:sz w:val="24"/>
                <w:szCs w:val="24"/>
                <w:lang w:val="en-GB"/>
              </w:rPr>
              <w:t xml:space="preserve"> partners. The applicant has assessed the sustainability and plans for phasing</w:t>
            </w:r>
            <w:r w:rsidR="0063559D">
              <w:rPr>
                <w:sz w:val="24"/>
                <w:szCs w:val="24"/>
                <w:lang w:val="en-GB"/>
              </w:rPr>
              <w:t xml:space="preserve"> out, thus </w:t>
            </w:r>
            <w:r w:rsidR="00B2627C" w:rsidRPr="007D760C">
              <w:rPr>
                <w:sz w:val="24"/>
                <w:szCs w:val="24"/>
                <w:lang w:val="en-GB"/>
              </w:rPr>
              <w:t>permit</w:t>
            </w:r>
            <w:r w:rsidR="0063559D">
              <w:rPr>
                <w:sz w:val="24"/>
                <w:szCs w:val="24"/>
                <w:lang w:val="en-GB"/>
              </w:rPr>
              <w:t xml:space="preserve">ting </w:t>
            </w:r>
            <w:r w:rsidR="00B2627C" w:rsidRPr="007D760C">
              <w:rPr>
                <w:sz w:val="24"/>
                <w:szCs w:val="24"/>
                <w:lang w:val="en-GB"/>
              </w:rPr>
              <w:t>the partner to continue the initiatives and/or maintai</w:t>
            </w:r>
            <w:r w:rsidR="0063559D">
              <w:rPr>
                <w:sz w:val="24"/>
                <w:szCs w:val="24"/>
                <w:lang w:val="en-GB"/>
              </w:rPr>
              <w:t xml:space="preserve">n the results when the support </w:t>
            </w:r>
            <w:r w:rsidR="00B2627C" w:rsidRPr="007D760C">
              <w:rPr>
                <w:sz w:val="24"/>
                <w:szCs w:val="24"/>
                <w:lang w:val="en-GB"/>
              </w:rPr>
              <w:t>discontinue</w:t>
            </w:r>
            <w:r w:rsidR="0063559D">
              <w:rPr>
                <w:sz w:val="24"/>
                <w:szCs w:val="24"/>
                <w:lang w:val="en-GB"/>
              </w:rPr>
              <w:t>s</w:t>
            </w:r>
            <w:r w:rsidR="00B2627C" w:rsidRPr="007D760C">
              <w:rPr>
                <w:sz w:val="24"/>
                <w:szCs w:val="24"/>
                <w:lang w:val="en-GB"/>
              </w:rPr>
              <w:t>.</w:t>
            </w:r>
          </w:p>
          <w:p w:rsidR="007C6282" w:rsidRPr="007D760C" w:rsidRDefault="007C6282" w:rsidP="00FD216C">
            <w:pPr>
              <w:rPr>
                <w:sz w:val="24"/>
                <w:szCs w:val="24"/>
                <w:u w:val="single"/>
                <w:lang w:val="en-GB"/>
              </w:rPr>
            </w:pP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u w:val="single"/>
                <w:lang w:val="en-GB"/>
              </w:rPr>
            </w:pPr>
            <w:r w:rsidRPr="007D760C">
              <w:rPr>
                <w:b/>
                <w:sz w:val="24"/>
                <w:szCs w:val="24"/>
                <w:u w:val="single"/>
                <w:lang w:val="en-GB"/>
              </w:rPr>
              <w:t xml:space="preserve">Standard </w:t>
            </w:r>
            <w:r w:rsidR="00D26AF5" w:rsidRPr="007D760C">
              <w:rPr>
                <w:b/>
                <w:sz w:val="24"/>
                <w:szCs w:val="24"/>
                <w:u w:val="single"/>
                <w:lang w:val="en-GB"/>
              </w:rPr>
              <w:t>8</w:t>
            </w:r>
            <w:r w:rsidRPr="007D760C">
              <w:rPr>
                <w:b/>
                <w:sz w:val="24"/>
                <w:szCs w:val="24"/>
                <w:u w:val="single"/>
                <w:lang w:val="en-GB"/>
              </w:rPr>
              <w:t xml:space="preserve">: </w:t>
            </w:r>
            <w:r w:rsidR="0090014A">
              <w:rPr>
                <w:b/>
                <w:sz w:val="24"/>
                <w:szCs w:val="24"/>
                <w:u w:val="single"/>
                <w:lang w:val="en-GB"/>
              </w:rPr>
              <w:t>Results based management</w:t>
            </w:r>
            <w:r w:rsidR="00B2627C" w:rsidRPr="007D760C">
              <w:rPr>
                <w:b/>
                <w:sz w:val="24"/>
                <w:szCs w:val="24"/>
                <w:u w:val="single"/>
                <w:lang w:val="en-GB"/>
              </w:rPr>
              <w:t xml:space="preserve"> </w:t>
            </w:r>
          </w:p>
          <w:p w:rsidR="00B2627C" w:rsidRPr="007D760C" w:rsidRDefault="00B2627C" w:rsidP="00FD216C">
            <w:pPr>
              <w:rPr>
                <w:bCs/>
                <w:sz w:val="24"/>
                <w:szCs w:val="24"/>
                <w:lang w:val="en-GB"/>
              </w:rPr>
            </w:pPr>
            <w:r w:rsidRPr="007D760C">
              <w:rPr>
                <w:bCs/>
                <w:sz w:val="24"/>
                <w:szCs w:val="24"/>
                <w:lang w:val="en-GB"/>
              </w:rPr>
              <w:t>The applicant submits result</w:t>
            </w:r>
            <w:r w:rsidR="00A26445">
              <w:rPr>
                <w:bCs/>
                <w:sz w:val="24"/>
                <w:szCs w:val="24"/>
                <w:lang w:val="en-GB"/>
              </w:rPr>
              <w:t>s</w:t>
            </w:r>
            <w:r w:rsidRPr="007D760C">
              <w:rPr>
                <w:bCs/>
                <w:sz w:val="24"/>
                <w:szCs w:val="24"/>
                <w:lang w:val="en-GB"/>
              </w:rPr>
              <w:t xml:space="preserve">-oriented plans with </w:t>
            </w:r>
            <w:r w:rsidR="0034150F" w:rsidRPr="007D760C">
              <w:rPr>
                <w:bCs/>
                <w:sz w:val="24"/>
                <w:szCs w:val="24"/>
                <w:lang w:val="en-GB"/>
              </w:rPr>
              <w:t xml:space="preserve">a </w:t>
            </w:r>
            <w:r w:rsidRPr="007D760C">
              <w:rPr>
                <w:bCs/>
                <w:sz w:val="24"/>
                <w:szCs w:val="24"/>
                <w:lang w:val="en-GB"/>
              </w:rPr>
              <w:t xml:space="preserve">solid </w:t>
            </w:r>
            <w:r w:rsidR="0034150F" w:rsidRPr="007D760C">
              <w:rPr>
                <w:bCs/>
                <w:sz w:val="24"/>
                <w:szCs w:val="24"/>
                <w:lang w:val="en-GB"/>
              </w:rPr>
              <w:t>results framework</w:t>
            </w:r>
            <w:r w:rsidR="00F22E0B">
              <w:rPr>
                <w:bCs/>
                <w:sz w:val="24"/>
                <w:szCs w:val="24"/>
                <w:lang w:val="en-GB"/>
              </w:rPr>
              <w:t>.</w:t>
            </w:r>
            <w:r w:rsidR="0034150F" w:rsidRPr="007D760C">
              <w:rPr>
                <w:bCs/>
                <w:sz w:val="24"/>
                <w:szCs w:val="24"/>
                <w:lang w:val="en-GB"/>
              </w:rPr>
              <w:t xml:space="preserve"> The applicant </w:t>
            </w:r>
            <w:r w:rsidR="00A26445">
              <w:rPr>
                <w:bCs/>
                <w:sz w:val="24"/>
                <w:szCs w:val="24"/>
                <w:lang w:val="en-GB"/>
              </w:rPr>
              <w:t xml:space="preserve">builds upon </w:t>
            </w:r>
            <w:r w:rsidR="0034150F" w:rsidRPr="007D760C">
              <w:rPr>
                <w:bCs/>
                <w:sz w:val="24"/>
                <w:szCs w:val="24"/>
                <w:lang w:val="en-GB"/>
              </w:rPr>
              <w:t xml:space="preserve">theories of change and/or a justification of </w:t>
            </w:r>
            <w:r w:rsidR="00A26445">
              <w:rPr>
                <w:bCs/>
                <w:sz w:val="24"/>
                <w:szCs w:val="24"/>
                <w:lang w:val="en-GB"/>
              </w:rPr>
              <w:t>how</w:t>
            </w:r>
            <w:r w:rsidR="0034150F" w:rsidRPr="007D760C">
              <w:rPr>
                <w:bCs/>
                <w:sz w:val="24"/>
                <w:szCs w:val="24"/>
                <w:lang w:val="en-GB"/>
              </w:rPr>
              <w:t xml:space="preserve"> the initiative(s) will help address the main challenges that </w:t>
            </w:r>
            <w:proofErr w:type="gramStart"/>
            <w:r w:rsidR="0034150F" w:rsidRPr="007D760C">
              <w:rPr>
                <w:bCs/>
                <w:sz w:val="24"/>
                <w:szCs w:val="24"/>
                <w:lang w:val="en-GB"/>
              </w:rPr>
              <w:t>have been identified</w:t>
            </w:r>
            <w:proofErr w:type="gramEnd"/>
            <w:r w:rsidR="0034150F" w:rsidRPr="007D760C">
              <w:rPr>
                <w:bCs/>
                <w:sz w:val="24"/>
                <w:szCs w:val="24"/>
                <w:lang w:val="en-GB"/>
              </w:rPr>
              <w:t xml:space="preserve">. </w:t>
            </w:r>
            <w:r w:rsidR="00BA6335" w:rsidRPr="007D760C">
              <w:rPr>
                <w:bCs/>
                <w:sz w:val="24"/>
                <w:szCs w:val="24"/>
                <w:lang w:val="en-GB"/>
              </w:rPr>
              <w:t xml:space="preserve">Emphasis is placed on the clarity and logical structure of the results framework, and </w:t>
            </w:r>
            <w:r w:rsidR="00AF2BEB">
              <w:rPr>
                <w:bCs/>
                <w:sz w:val="24"/>
                <w:szCs w:val="24"/>
                <w:lang w:val="en-GB"/>
              </w:rPr>
              <w:t>the inclusion of</w:t>
            </w:r>
            <w:r w:rsidR="00BA6335" w:rsidRPr="007D760C">
              <w:rPr>
                <w:bCs/>
                <w:sz w:val="24"/>
                <w:szCs w:val="24"/>
                <w:lang w:val="en-GB"/>
              </w:rPr>
              <w:t xml:space="preserve"> clear,</w:t>
            </w:r>
            <w:r w:rsidR="0063559D">
              <w:rPr>
                <w:bCs/>
                <w:sz w:val="24"/>
                <w:szCs w:val="24"/>
                <w:lang w:val="en-GB"/>
              </w:rPr>
              <w:t xml:space="preserve"> measurable</w:t>
            </w:r>
            <w:r w:rsidR="00BA6335" w:rsidRPr="007D760C">
              <w:rPr>
                <w:bCs/>
                <w:sz w:val="24"/>
                <w:szCs w:val="24"/>
                <w:lang w:val="en-GB"/>
              </w:rPr>
              <w:t xml:space="preserve"> and realistic development objectives at the soci</w:t>
            </w:r>
            <w:r w:rsidR="006C5194">
              <w:rPr>
                <w:bCs/>
                <w:sz w:val="24"/>
                <w:szCs w:val="24"/>
                <w:lang w:val="en-GB"/>
              </w:rPr>
              <w:t>et</w:t>
            </w:r>
            <w:r w:rsidR="00BA6335" w:rsidRPr="007D760C">
              <w:rPr>
                <w:bCs/>
                <w:sz w:val="24"/>
                <w:szCs w:val="24"/>
                <w:lang w:val="en-GB"/>
              </w:rPr>
              <w:t xml:space="preserve">al level (impact), </w:t>
            </w:r>
            <w:r w:rsidR="00AF2BEB">
              <w:rPr>
                <w:bCs/>
                <w:sz w:val="24"/>
                <w:szCs w:val="24"/>
                <w:lang w:val="en-GB"/>
              </w:rPr>
              <w:t xml:space="preserve">at end user level </w:t>
            </w:r>
            <w:r w:rsidR="00BA6335" w:rsidRPr="007D760C">
              <w:rPr>
                <w:bCs/>
                <w:sz w:val="24"/>
                <w:szCs w:val="24"/>
                <w:lang w:val="en-GB"/>
              </w:rPr>
              <w:t xml:space="preserve">(outcome) and at the </w:t>
            </w:r>
            <w:r w:rsidR="00AF2BEB">
              <w:rPr>
                <w:bCs/>
                <w:sz w:val="24"/>
                <w:szCs w:val="24"/>
                <w:lang w:val="en-GB"/>
              </w:rPr>
              <w:t xml:space="preserve">delivery </w:t>
            </w:r>
            <w:r w:rsidR="00BA6335" w:rsidRPr="007D760C">
              <w:rPr>
                <w:bCs/>
                <w:sz w:val="24"/>
                <w:szCs w:val="24"/>
                <w:lang w:val="en-GB"/>
              </w:rPr>
              <w:t>level (output)</w:t>
            </w:r>
            <w:r w:rsidR="00AF2BEB">
              <w:rPr>
                <w:bCs/>
                <w:sz w:val="24"/>
                <w:szCs w:val="24"/>
                <w:lang w:val="en-GB"/>
              </w:rPr>
              <w:t>;</w:t>
            </w:r>
            <w:r w:rsidR="00BA6335" w:rsidRPr="007D760C">
              <w:rPr>
                <w:bCs/>
                <w:sz w:val="24"/>
                <w:szCs w:val="24"/>
                <w:lang w:val="en-GB"/>
              </w:rPr>
              <w:t xml:space="preserve"> relevant indicators for goal achievement</w:t>
            </w:r>
            <w:r w:rsidR="00AF2BEB">
              <w:rPr>
                <w:bCs/>
                <w:sz w:val="24"/>
                <w:szCs w:val="24"/>
                <w:lang w:val="en-GB"/>
              </w:rPr>
              <w:t>;</w:t>
            </w:r>
            <w:r w:rsidR="00BA6335" w:rsidRPr="007D760C">
              <w:rPr>
                <w:bCs/>
                <w:sz w:val="24"/>
                <w:szCs w:val="24"/>
                <w:lang w:val="en-GB"/>
              </w:rPr>
              <w:t xml:space="preserve"> reference to baseline data</w:t>
            </w:r>
            <w:r w:rsidR="00AF2BEB">
              <w:rPr>
                <w:bCs/>
                <w:sz w:val="24"/>
                <w:szCs w:val="24"/>
                <w:lang w:val="en-GB"/>
              </w:rPr>
              <w:t>;</w:t>
            </w:r>
            <w:r w:rsidR="00BA6335" w:rsidRPr="007D760C">
              <w:rPr>
                <w:bCs/>
                <w:sz w:val="24"/>
                <w:szCs w:val="24"/>
                <w:lang w:val="en-GB"/>
              </w:rPr>
              <w:t xml:space="preserve"> and d</w:t>
            </w:r>
            <w:r w:rsidR="00AF2BEB">
              <w:rPr>
                <w:bCs/>
                <w:sz w:val="24"/>
                <w:szCs w:val="24"/>
                <w:lang w:val="en-GB"/>
              </w:rPr>
              <w:t>is</w:t>
            </w:r>
            <w:r w:rsidR="00BA6335" w:rsidRPr="007D760C">
              <w:rPr>
                <w:bCs/>
                <w:sz w:val="24"/>
                <w:szCs w:val="24"/>
                <w:lang w:val="en-GB"/>
              </w:rPr>
              <w:t xml:space="preserve">aggregated data. The applicant’s </w:t>
            </w:r>
            <w:proofErr w:type="gramStart"/>
            <w:r w:rsidR="00BA6335" w:rsidRPr="007D760C">
              <w:rPr>
                <w:bCs/>
                <w:sz w:val="24"/>
                <w:szCs w:val="24"/>
                <w:lang w:val="en-GB"/>
              </w:rPr>
              <w:t>added value</w:t>
            </w:r>
            <w:proofErr w:type="gramEnd"/>
            <w:r w:rsidR="00BA6335" w:rsidRPr="007D760C">
              <w:rPr>
                <w:bCs/>
                <w:sz w:val="24"/>
                <w:szCs w:val="24"/>
                <w:lang w:val="en-GB"/>
              </w:rPr>
              <w:t xml:space="preserve"> </w:t>
            </w:r>
            <w:r w:rsidR="00EB7661">
              <w:rPr>
                <w:bCs/>
                <w:sz w:val="24"/>
                <w:szCs w:val="24"/>
                <w:lang w:val="en-GB"/>
              </w:rPr>
              <w:t>which is</w:t>
            </w:r>
            <w:r w:rsidR="00BA6335" w:rsidRPr="007D760C">
              <w:rPr>
                <w:bCs/>
                <w:sz w:val="24"/>
                <w:szCs w:val="24"/>
                <w:lang w:val="en-GB"/>
              </w:rPr>
              <w:t xml:space="preserve"> operationalized and </w:t>
            </w:r>
            <w:r w:rsidR="00EB7661">
              <w:rPr>
                <w:bCs/>
                <w:sz w:val="24"/>
                <w:szCs w:val="24"/>
                <w:lang w:val="en-GB"/>
              </w:rPr>
              <w:t>measurable</w:t>
            </w:r>
            <w:r w:rsidR="00BA6335" w:rsidRPr="007D760C">
              <w:rPr>
                <w:bCs/>
                <w:sz w:val="24"/>
                <w:szCs w:val="24"/>
                <w:lang w:val="en-GB"/>
              </w:rPr>
              <w:t xml:space="preserve"> will count </w:t>
            </w:r>
            <w:r w:rsidR="00E27604">
              <w:rPr>
                <w:bCs/>
                <w:sz w:val="24"/>
                <w:szCs w:val="24"/>
                <w:lang w:val="en-GB"/>
              </w:rPr>
              <w:t>as</w:t>
            </w:r>
            <w:r w:rsidR="00E27604" w:rsidRPr="007D760C">
              <w:rPr>
                <w:bCs/>
                <w:sz w:val="24"/>
                <w:szCs w:val="24"/>
                <w:lang w:val="en-GB"/>
              </w:rPr>
              <w:t xml:space="preserve"> </w:t>
            </w:r>
            <w:r w:rsidR="00BA6335" w:rsidRPr="007D760C">
              <w:rPr>
                <w:bCs/>
                <w:sz w:val="24"/>
                <w:szCs w:val="24"/>
                <w:lang w:val="en-GB"/>
              </w:rPr>
              <w:t xml:space="preserve">a strength in the </w:t>
            </w:r>
            <w:r w:rsidR="00EB7661">
              <w:rPr>
                <w:bCs/>
                <w:sz w:val="24"/>
                <w:szCs w:val="24"/>
                <w:lang w:val="en-GB"/>
              </w:rPr>
              <w:t>appraisal</w:t>
            </w:r>
            <w:r w:rsidR="00BA6335" w:rsidRPr="007D760C">
              <w:rPr>
                <w:bCs/>
                <w:sz w:val="24"/>
                <w:szCs w:val="24"/>
                <w:lang w:val="en-GB"/>
              </w:rPr>
              <w:t>.</w:t>
            </w:r>
            <w:r w:rsidR="00F22E0B">
              <w:rPr>
                <w:bCs/>
                <w:sz w:val="24"/>
                <w:szCs w:val="24"/>
                <w:lang w:val="en-GB"/>
              </w:rPr>
              <w:t xml:space="preserve"> The applicant can document </w:t>
            </w:r>
            <w:r w:rsidR="00F47A23">
              <w:rPr>
                <w:bCs/>
                <w:sz w:val="24"/>
                <w:szCs w:val="24"/>
                <w:lang w:val="en-GB"/>
              </w:rPr>
              <w:t xml:space="preserve">capacity and routines for risk and results management internally in the organization. </w:t>
            </w:r>
          </w:p>
          <w:p w:rsidR="007C6282" w:rsidRPr="007D760C" w:rsidRDefault="007C6282" w:rsidP="00BA6335">
            <w:pPr>
              <w:rPr>
                <w:i/>
                <w:iCs/>
                <w:sz w:val="24"/>
                <w:szCs w:val="24"/>
                <w:u w:val="single"/>
                <w:lang w:val="en-GB"/>
              </w:rPr>
            </w:pP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lang w:val="en-GB"/>
              </w:rPr>
            </w:pPr>
            <w:r w:rsidRPr="007D760C">
              <w:rPr>
                <w:b/>
                <w:sz w:val="24"/>
                <w:szCs w:val="24"/>
                <w:u w:val="single"/>
                <w:lang w:val="en-GB"/>
              </w:rPr>
              <w:t xml:space="preserve">Standard </w:t>
            </w:r>
            <w:r w:rsidR="008B7678" w:rsidRPr="007D760C">
              <w:rPr>
                <w:b/>
                <w:sz w:val="24"/>
                <w:szCs w:val="24"/>
                <w:u w:val="single"/>
                <w:lang w:val="en-GB"/>
              </w:rPr>
              <w:t>9</w:t>
            </w:r>
            <w:r w:rsidRPr="007D760C">
              <w:rPr>
                <w:b/>
                <w:sz w:val="24"/>
                <w:szCs w:val="24"/>
                <w:u w:val="single"/>
                <w:lang w:val="en-GB"/>
              </w:rPr>
              <w:t>: Risk</w:t>
            </w:r>
            <w:r w:rsidR="00BA6335" w:rsidRPr="007D760C">
              <w:rPr>
                <w:b/>
                <w:sz w:val="24"/>
                <w:szCs w:val="24"/>
                <w:u w:val="single"/>
                <w:lang w:val="en-GB"/>
              </w:rPr>
              <w:t xml:space="preserve"> analysis</w:t>
            </w:r>
          </w:p>
          <w:p w:rsidR="00BA6335" w:rsidRPr="007D760C" w:rsidRDefault="00BA6335" w:rsidP="00FD216C">
            <w:pPr>
              <w:rPr>
                <w:sz w:val="24"/>
                <w:szCs w:val="24"/>
                <w:lang w:val="en-GB"/>
              </w:rPr>
            </w:pPr>
            <w:r w:rsidRPr="007D760C">
              <w:rPr>
                <w:sz w:val="24"/>
                <w:szCs w:val="24"/>
                <w:lang w:val="en-GB"/>
              </w:rPr>
              <w:t xml:space="preserve">The applicant systematically identifies and analyses relevant risks that may prevent achievement of the </w:t>
            </w:r>
            <w:r w:rsidR="00AF2BEB">
              <w:rPr>
                <w:sz w:val="24"/>
                <w:szCs w:val="24"/>
                <w:lang w:val="en-GB"/>
              </w:rPr>
              <w:t>objectives</w:t>
            </w:r>
            <w:r w:rsidRPr="007D760C">
              <w:rPr>
                <w:sz w:val="24"/>
                <w:szCs w:val="24"/>
                <w:lang w:val="en-GB"/>
              </w:rPr>
              <w:t>. The applicant has appropriate routines for follo</w:t>
            </w:r>
            <w:r w:rsidR="007D760C">
              <w:rPr>
                <w:sz w:val="24"/>
                <w:szCs w:val="24"/>
                <w:lang w:val="en-GB"/>
              </w:rPr>
              <w:t>w</w:t>
            </w:r>
            <w:r w:rsidRPr="007D760C">
              <w:rPr>
                <w:sz w:val="24"/>
                <w:szCs w:val="24"/>
                <w:lang w:val="en-GB"/>
              </w:rPr>
              <w:t>ing up and managing risk</w:t>
            </w:r>
            <w:r w:rsidR="00EB7661">
              <w:rPr>
                <w:sz w:val="24"/>
                <w:szCs w:val="24"/>
                <w:lang w:val="en-GB"/>
              </w:rPr>
              <w:t>s</w:t>
            </w:r>
            <w:r w:rsidRPr="007D760C">
              <w:rPr>
                <w:sz w:val="24"/>
                <w:szCs w:val="24"/>
                <w:lang w:val="en-GB"/>
              </w:rPr>
              <w:t>.</w:t>
            </w:r>
          </w:p>
          <w:p w:rsidR="00FC75BB" w:rsidRPr="007D760C" w:rsidRDefault="00FC75BB" w:rsidP="00FD216C">
            <w:pPr>
              <w:rPr>
                <w:sz w:val="24"/>
                <w:szCs w:val="24"/>
                <w:lang w:val="en-GB"/>
              </w:rPr>
            </w:pPr>
          </w:p>
          <w:p w:rsidR="00BA6335" w:rsidRPr="007D760C" w:rsidRDefault="00BA6335" w:rsidP="00FD216C">
            <w:pPr>
              <w:rPr>
                <w:sz w:val="24"/>
                <w:szCs w:val="24"/>
                <w:lang w:val="en-GB"/>
              </w:rPr>
            </w:pPr>
            <w:r w:rsidRPr="007D760C">
              <w:rPr>
                <w:sz w:val="24"/>
                <w:szCs w:val="24"/>
                <w:lang w:val="en-GB"/>
              </w:rPr>
              <w:t xml:space="preserve">The applicant has identified </w:t>
            </w:r>
            <w:r w:rsidR="00DC736B">
              <w:rPr>
                <w:sz w:val="24"/>
                <w:szCs w:val="24"/>
                <w:lang w:val="en-GB"/>
              </w:rPr>
              <w:t>significant</w:t>
            </w:r>
            <w:r w:rsidRPr="007D760C">
              <w:rPr>
                <w:sz w:val="24"/>
                <w:szCs w:val="24"/>
                <w:lang w:val="en-GB"/>
              </w:rPr>
              <w:t xml:space="preserve"> risk factors that may have a negative effect on the </w:t>
            </w:r>
            <w:proofErr w:type="gramStart"/>
            <w:r w:rsidR="00072BA3">
              <w:rPr>
                <w:sz w:val="24"/>
                <w:szCs w:val="24"/>
                <w:lang w:val="en-GB"/>
              </w:rPr>
              <w:t>cross-cutting</w:t>
            </w:r>
            <w:proofErr w:type="gramEnd"/>
            <w:r w:rsidRPr="007D760C">
              <w:rPr>
                <w:sz w:val="24"/>
                <w:szCs w:val="24"/>
                <w:lang w:val="en-GB"/>
              </w:rPr>
              <w:t xml:space="preserve"> </w:t>
            </w:r>
            <w:r w:rsidR="00EB7661">
              <w:rPr>
                <w:sz w:val="24"/>
                <w:szCs w:val="24"/>
                <w:lang w:val="en-GB"/>
              </w:rPr>
              <w:t>issues</w:t>
            </w:r>
            <w:r w:rsidRPr="007D760C">
              <w:rPr>
                <w:sz w:val="24"/>
                <w:szCs w:val="24"/>
                <w:lang w:val="en-GB"/>
              </w:rPr>
              <w:t xml:space="preserve"> for 1) human rights, especially linked to co-determination, accountability and non-discrimination, 2) women’s rights and gender equality, 3) climate and environment, and 4) anti-corruption.</w:t>
            </w:r>
          </w:p>
          <w:p w:rsidR="00F62130" w:rsidRPr="007D760C" w:rsidRDefault="00F62130" w:rsidP="00FD216C">
            <w:pPr>
              <w:rPr>
                <w:sz w:val="24"/>
                <w:szCs w:val="24"/>
                <w:lang w:val="en-GB"/>
              </w:rPr>
            </w:pPr>
          </w:p>
          <w:p w:rsidR="00BA6335" w:rsidRPr="007D760C" w:rsidRDefault="00BA6335" w:rsidP="00FD216C">
            <w:pPr>
              <w:rPr>
                <w:sz w:val="24"/>
                <w:szCs w:val="24"/>
                <w:lang w:val="en-GB"/>
              </w:rPr>
            </w:pPr>
            <w:r w:rsidRPr="007D760C">
              <w:rPr>
                <w:sz w:val="24"/>
                <w:szCs w:val="24"/>
                <w:lang w:val="en-GB"/>
              </w:rPr>
              <w:t xml:space="preserve">In the </w:t>
            </w:r>
            <w:r w:rsidR="00EB7661">
              <w:rPr>
                <w:sz w:val="24"/>
                <w:szCs w:val="24"/>
                <w:lang w:val="en-GB"/>
              </w:rPr>
              <w:t>appraisal</w:t>
            </w:r>
            <w:r w:rsidRPr="007D760C">
              <w:rPr>
                <w:sz w:val="24"/>
                <w:szCs w:val="24"/>
                <w:lang w:val="en-GB"/>
              </w:rPr>
              <w:t xml:space="preserve"> of </w:t>
            </w:r>
            <w:r w:rsidR="00EB7661">
              <w:rPr>
                <w:sz w:val="24"/>
                <w:szCs w:val="24"/>
                <w:lang w:val="en-GB"/>
              </w:rPr>
              <w:t xml:space="preserve">the </w:t>
            </w:r>
            <w:r w:rsidRPr="007D760C">
              <w:rPr>
                <w:sz w:val="24"/>
                <w:szCs w:val="24"/>
                <w:lang w:val="en-GB"/>
              </w:rPr>
              <w:t>risk</w:t>
            </w:r>
            <w:r w:rsidR="003C7DFF">
              <w:rPr>
                <w:sz w:val="24"/>
                <w:szCs w:val="24"/>
                <w:lang w:val="en-GB"/>
              </w:rPr>
              <w:t>s</w:t>
            </w:r>
            <w:r w:rsidR="00217C5B">
              <w:rPr>
                <w:sz w:val="24"/>
                <w:szCs w:val="24"/>
                <w:lang w:val="en-GB"/>
              </w:rPr>
              <w:t xml:space="preserve"> for not </w:t>
            </w:r>
            <w:r w:rsidRPr="007D760C">
              <w:rPr>
                <w:sz w:val="24"/>
                <w:szCs w:val="24"/>
                <w:lang w:val="en-GB"/>
              </w:rPr>
              <w:t>achiev</w:t>
            </w:r>
            <w:r w:rsidR="00EB7661">
              <w:rPr>
                <w:sz w:val="24"/>
                <w:szCs w:val="24"/>
                <w:lang w:val="en-GB"/>
              </w:rPr>
              <w:t>ing the</w:t>
            </w:r>
            <w:r w:rsidR="00072BA3">
              <w:rPr>
                <w:sz w:val="24"/>
                <w:szCs w:val="24"/>
                <w:lang w:val="en-GB"/>
              </w:rPr>
              <w:t xml:space="preserve"> objectives </w:t>
            </w:r>
            <w:r w:rsidRPr="007D760C">
              <w:rPr>
                <w:sz w:val="24"/>
                <w:szCs w:val="24"/>
                <w:lang w:val="en-GB"/>
              </w:rPr>
              <w:t xml:space="preserve">and </w:t>
            </w:r>
            <w:proofErr w:type="gramStart"/>
            <w:r w:rsidR="00072BA3">
              <w:rPr>
                <w:sz w:val="24"/>
                <w:szCs w:val="24"/>
                <w:lang w:val="en-GB"/>
              </w:rPr>
              <w:t>cross-cutting</w:t>
            </w:r>
            <w:proofErr w:type="gramEnd"/>
            <w:r w:rsidR="00EB7661">
              <w:rPr>
                <w:sz w:val="24"/>
                <w:szCs w:val="24"/>
                <w:lang w:val="en-GB"/>
              </w:rPr>
              <w:t xml:space="preserve"> issues</w:t>
            </w:r>
            <w:r w:rsidRPr="007D760C">
              <w:rPr>
                <w:sz w:val="24"/>
                <w:szCs w:val="24"/>
                <w:lang w:val="en-GB"/>
              </w:rPr>
              <w:t>, emphasis will be placed on how the applicant has 1) identified risk factors, 2) assessed their probability and consequence, and 3) planned possible measures to reduce their probability and consequence. The a</w:t>
            </w:r>
            <w:r w:rsidR="00EB7661">
              <w:rPr>
                <w:sz w:val="24"/>
                <w:szCs w:val="24"/>
                <w:lang w:val="en-GB"/>
              </w:rPr>
              <w:t>ppraisal</w:t>
            </w:r>
            <w:r w:rsidRPr="007D760C">
              <w:rPr>
                <w:sz w:val="24"/>
                <w:szCs w:val="24"/>
                <w:lang w:val="en-GB"/>
              </w:rPr>
              <w:t xml:space="preserve"> includes internal as well as external risk factors.</w:t>
            </w:r>
          </w:p>
          <w:p w:rsidR="007C6282" w:rsidRPr="007D760C" w:rsidRDefault="007C6282" w:rsidP="008469A9">
            <w:pPr>
              <w:rPr>
                <w:sz w:val="24"/>
                <w:szCs w:val="24"/>
                <w:u w:val="single"/>
                <w:lang w:val="en-GB"/>
              </w:rPr>
            </w:pP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lang w:val="en-GB"/>
              </w:rPr>
            </w:pPr>
            <w:r w:rsidRPr="007D760C">
              <w:rPr>
                <w:b/>
                <w:sz w:val="24"/>
                <w:szCs w:val="24"/>
                <w:u w:val="single"/>
                <w:lang w:val="en-GB"/>
              </w:rPr>
              <w:t>Standard 1</w:t>
            </w:r>
            <w:r w:rsidR="00235518" w:rsidRPr="007D760C">
              <w:rPr>
                <w:b/>
                <w:sz w:val="24"/>
                <w:szCs w:val="24"/>
                <w:u w:val="single"/>
                <w:lang w:val="en-GB"/>
              </w:rPr>
              <w:t>0</w:t>
            </w:r>
            <w:r w:rsidRPr="007D760C">
              <w:rPr>
                <w:b/>
                <w:sz w:val="24"/>
                <w:szCs w:val="24"/>
                <w:u w:val="single"/>
                <w:lang w:val="en-GB"/>
              </w:rPr>
              <w:t xml:space="preserve">: </w:t>
            </w:r>
            <w:r w:rsidR="00F47A23">
              <w:rPr>
                <w:b/>
                <w:sz w:val="24"/>
                <w:szCs w:val="24"/>
                <w:u w:val="single"/>
                <w:lang w:val="en-GB"/>
              </w:rPr>
              <w:t>Budget</w:t>
            </w:r>
            <w:r w:rsidR="00BA6335" w:rsidRPr="007D760C">
              <w:rPr>
                <w:b/>
                <w:sz w:val="24"/>
                <w:szCs w:val="24"/>
                <w:u w:val="single"/>
                <w:lang w:val="en-GB"/>
              </w:rPr>
              <w:t xml:space="preserve"> </w:t>
            </w:r>
          </w:p>
          <w:p w:rsidR="00BA6335" w:rsidRPr="007D760C" w:rsidRDefault="0062731E" w:rsidP="00A533AD">
            <w:pPr>
              <w:rPr>
                <w:iCs/>
                <w:sz w:val="24"/>
                <w:szCs w:val="24"/>
                <w:lang w:val="en-GB"/>
              </w:rPr>
            </w:pPr>
            <w:r w:rsidRPr="007D760C">
              <w:rPr>
                <w:iCs/>
                <w:sz w:val="24"/>
                <w:szCs w:val="24"/>
                <w:lang w:val="en-GB"/>
              </w:rPr>
              <w:lastRenderedPageBreak/>
              <w:t xml:space="preserve">The applicant’s budgeted costs appear to be relevant, necessary and realistic </w:t>
            </w:r>
            <w:r w:rsidR="00072BA3">
              <w:rPr>
                <w:iCs/>
                <w:sz w:val="24"/>
                <w:szCs w:val="24"/>
                <w:lang w:val="en-GB"/>
              </w:rPr>
              <w:t xml:space="preserve">for </w:t>
            </w:r>
            <w:r w:rsidR="00EB7661">
              <w:rPr>
                <w:iCs/>
                <w:sz w:val="24"/>
                <w:szCs w:val="24"/>
                <w:lang w:val="en-GB"/>
              </w:rPr>
              <w:t xml:space="preserve">the </w:t>
            </w:r>
            <w:r w:rsidR="00072BA3">
              <w:rPr>
                <w:iCs/>
                <w:sz w:val="24"/>
                <w:szCs w:val="24"/>
                <w:lang w:val="en-GB"/>
              </w:rPr>
              <w:t>implementation of</w:t>
            </w:r>
            <w:r w:rsidRPr="007D760C">
              <w:rPr>
                <w:iCs/>
                <w:sz w:val="24"/>
                <w:szCs w:val="24"/>
                <w:lang w:val="en-GB"/>
              </w:rPr>
              <w:t xml:space="preserve"> the plans in </w:t>
            </w:r>
            <w:r w:rsidR="00072BA3">
              <w:rPr>
                <w:iCs/>
                <w:sz w:val="24"/>
                <w:szCs w:val="24"/>
                <w:lang w:val="en-GB"/>
              </w:rPr>
              <w:t xml:space="preserve">such </w:t>
            </w:r>
            <w:r w:rsidRPr="007D760C">
              <w:rPr>
                <w:iCs/>
                <w:sz w:val="24"/>
                <w:szCs w:val="24"/>
                <w:lang w:val="en-GB"/>
              </w:rPr>
              <w:t xml:space="preserve">a way </w:t>
            </w:r>
            <w:r w:rsidR="00EB7661">
              <w:rPr>
                <w:iCs/>
                <w:sz w:val="24"/>
                <w:szCs w:val="24"/>
                <w:lang w:val="en-GB"/>
              </w:rPr>
              <w:t xml:space="preserve">that the </w:t>
            </w:r>
            <w:r w:rsidR="00072BA3">
              <w:rPr>
                <w:iCs/>
                <w:sz w:val="24"/>
                <w:szCs w:val="24"/>
                <w:lang w:val="en-GB"/>
              </w:rPr>
              <w:t>objectives</w:t>
            </w:r>
            <w:r w:rsidR="00EB7661">
              <w:rPr>
                <w:iCs/>
                <w:sz w:val="24"/>
                <w:szCs w:val="24"/>
                <w:lang w:val="en-GB"/>
              </w:rPr>
              <w:t xml:space="preserve"> </w:t>
            </w:r>
            <w:proofErr w:type="gramStart"/>
            <w:r w:rsidR="00EB7661">
              <w:rPr>
                <w:iCs/>
                <w:sz w:val="24"/>
                <w:szCs w:val="24"/>
                <w:lang w:val="en-GB"/>
              </w:rPr>
              <w:t>are achieved</w:t>
            </w:r>
            <w:proofErr w:type="gramEnd"/>
            <w:r w:rsidRPr="007D760C">
              <w:rPr>
                <w:iCs/>
                <w:sz w:val="24"/>
                <w:szCs w:val="24"/>
                <w:lang w:val="en-GB"/>
              </w:rPr>
              <w:t xml:space="preserve">. </w:t>
            </w:r>
            <w:r w:rsidR="00EB7661">
              <w:rPr>
                <w:iCs/>
                <w:sz w:val="24"/>
                <w:szCs w:val="24"/>
                <w:lang w:val="en-GB"/>
              </w:rPr>
              <w:t>T</w:t>
            </w:r>
            <w:r w:rsidRPr="007D760C">
              <w:rPr>
                <w:iCs/>
                <w:sz w:val="24"/>
                <w:szCs w:val="24"/>
                <w:lang w:val="en-GB"/>
              </w:rPr>
              <w:t xml:space="preserve">he applicant </w:t>
            </w:r>
            <w:r w:rsidR="00F47A23">
              <w:rPr>
                <w:iCs/>
                <w:sz w:val="24"/>
                <w:szCs w:val="24"/>
                <w:lang w:val="en-GB"/>
              </w:rPr>
              <w:t>works</w:t>
            </w:r>
            <w:r w:rsidRPr="007D760C">
              <w:rPr>
                <w:iCs/>
                <w:sz w:val="24"/>
                <w:szCs w:val="24"/>
                <w:lang w:val="en-GB"/>
              </w:rPr>
              <w:t xml:space="preserve"> with the partner(s)</w:t>
            </w:r>
            <w:r w:rsidR="00EB7661">
              <w:rPr>
                <w:iCs/>
                <w:sz w:val="24"/>
                <w:szCs w:val="24"/>
                <w:lang w:val="en-GB"/>
              </w:rPr>
              <w:t xml:space="preserve"> when</w:t>
            </w:r>
            <w:r w:rsidR="00EB7661" w:rsidRPr="007D760C">
              <w:rPr>
                <w:iCs/>
                <w:sz w:val="24"/>
                <w:szCs w:val="24"/>
                <w:lang w:val="en-GB"/>
              </w:rPr>
              <w:t xml:space="preserve"> </w:t>
            </w:r>
            <w:r w:rsidR="00EB7661">
              <w:rPr>
                <w:iCs/>
                <w:sz w:val="24"/>
                <w:szCs w:val="24"/>
                <w:lang w:val="en-GB"/>
              </w:rPr>
              <w:t>preparing</w:t>
            </w:r>
            <w:r w:rsidR="00EB7661" w:rsidRPr="007D760C">
              <w:rPr>
                <w:iCs/>
                <w:sz w:val="24"/>
                <w:szCs w:val="24"/>
                <w:lang w:val="en-GB"/>
              </w:rPr>
              <w:t xml:space="preserve"> the budget</w:t>
            </w:r>
            <w:r w:rsidRPr="007D760C">
              <w:rPr>
                <w:iCs/>
                <w:sz w:val="24"/>
                <w:szCs w:val="24"/>
                <w:lang w:val="en-GB"/>
              </w:rPr>
              <w:t xml:space="preserve">. </w:t>
            </w:r>
          </w:p>
          <w:p w:rsidR="00A533AD" w:rsidRPr="007D760C" w:rsidRDefault="00A533AD" w:rsidP="00A533AD">
            <w:pPr>
              <w:rPr>
                <w:iCs/>
                <w:sz w:val="24"/>
                <w:szCs w:val="24"/>
                <w:lang w:val="en-GB"/>
              </w:rPr>
            </w:pPr>
          </w:p>
          <w:p w:rsidR="00A533AD" w:rsidRPr="007D760C" w:rsidRDefault="0062731E" w:rsidP="00A533AD">
            <w:pPr>
              <w:rPr>
                <w:iCs/>
                <w:sz w:val="24"/>
                <w:szCs w:val="24"/>
                <w:lang w:val="en-GB"/>
              </w:rPr>
            </w:pPr>
            <w:r w:rsidRPr="007D760C">
              <w:rPr>
                <w:iCs/>
                <w:sz w:val="24"/>
                <w:szCs w:val="24"/>
                <w:lang w:val="en-GB"/>
              </w:rPr>
              <w:t xml:space="preserve">The plans and budgets show how the costs </w:t>
            </w:r>
            <w:proofErr w:type="gramStart"/>
            <w:r w:rsidRPr="007D760C">
              <w:rPr>
                <w:iCs/>
                <w:sz w:val="24"/>
                <w:szCs w:val="24"/>
                <w:lang w:val="en-GB"/>
              </w:rPr>
              <w:t>have been distributed</w:t>
            </w:r>
            <w:proofErr w:type="gramEnd"/>
            <w:r w:rsidRPr="007D760C">
              <w:rPr>
                <w:iCs/>
                <w:sz w:val="24"/>
                <w:szCs w:val="24"/>
                <w:lang w:val="en-GB"/>
              </w:rPr>
              <w:t xml:space="preserve"> among the various </w:t>
            </w:r>
            <w:r w:rsidR="00072BA3">
              <w:rPr>
                <w:iCs/>
                <w:sz w:val="24"/>
                <w:szCs w:val="24"/>
                <w:lang w:val="en-GB"/>
              </w:rPr>
              <w:t>sections</w:t>
            </w:r>
            <w:r w:rsidR="00072BA3" w:rsidRPr="007D760C">
              <w:rPr>
                <w:iCs/>
                <w:sz w:val="24"/>
                <w:szCs w:val="24"/>
                <w:lang w:val="en-GB"/>
              </w:rPr>
              <w:t xml:space="preserve"> </w:t>
            </w:r>
            <w:r w:rsidRPr="007D760C">
              <w:rPr>
                <w:iCs/>
                <w:sz w:val="24"/>
                <w:szCs w:val="24"/>
                <w:lang w:val="en-GB"/>
              </w:rPr>
              <w:t xml:space="preserve">of the applicant organization and the partners. </w:t>
            </w:r>
            <w:r w:rsidR="00F47A23">
              <w:rPr>
                <w:iCs/>
                <w:sz w:val="24"/>
                <w:szCs w:val="24"/>
                <w:lang w:val="en-GB"/>
              </w:rPr>
              <w:t xml:space="preserve">The distribution of costs seems reasonable according to type of activity and value-added at each level. </w:t>
            </w:r>
            <w:r w:rsidRPr="007D760C">
              <w:rPr>
                <w:iCs/>
                <w:sz w:val="24"/>
                <w:szCs w:val="24"/>
                <w:lang w:val="en-GB"/>
              </w:rPr>
              <w:t xml:space="preserve">The applicant demonstrates reflection on the costs, </w:t>
            </w:r>
            <w:r w:rsidR="00F47A23">
              <w:rPr>
                <w:iCs/>
                <w:sz w:val="24"/>
                <w:szCs w:val="24"/>
                <w:lang w:val="en-GB"/>
              </w:rPr>
              <w:t>and these</w:t>
            </w:r>
            <w:r w:rsidRPr="007D760C">
              <w:rPr>
                <w:iCs/>
                <w:sz w:val="24"/>
                <w:szCs w:val="24"/>
                <w:lang w:val="en-GB"/>
              </w:rPr>
              <w:t xml:space="preserve"> appear justifiable and cost-effective.</w:t>
            </w:r>
          </w:p>
          <w:p w:rsidR="007C6282" w:rsidRPr="007D760C" w:rsidRDefault="007C6282" w:rsidP="0062731E">
            <w:pPr>
              <w:rPr>
                <w:sz w:val="24"/>
                <w:szCs w:val="24"/>
                <w:u w:val="single"/>
                <w:lang w:val="en-GB"/>
              </w:rPr>
            </w:pPr>
          </w:p>
        </w:tc>
      </w:tr>
    </w:tbl>
    <w:p w:rsidR="00E74A76" w:rsidRPr="007D760C" w:rsidRDefault="00E74A76" w:rsidP="007C6282">
      <w:pPr>
        <w:rPr>
          <w:sz w:val="24"/>
          <w:szCs w:val="24"/>
          <w:lang w:val="en-GB"/>
        </w:rPr>
      </w:pPr>
    </w:p>
    <w:tbl>
      <w:tblPr>
        <w:tblStyle w:val="TableGrid"/>
        <w:tblW w:w="9071" w:type="dxa"/>
        <w:jc w:val="center"/>
        <w:tblLayout w:type="fixed"/>
        <w:tblLook w:val="04A0" w:firstRow="1" w:lastRow="0" w:firstColumn="1" w:lastColumn="0" w:noHBand="0" w:noVBand="1"/>
      </w:tblPr>
      <w:tblGrid>
        <w:gridCol w:w="9071"/>
      </w:tblGrid>
      <w:tr w:rsidR="007C6282" w:rsidRPr="007D760C" w:rsidTr="00FD216C">
        <w:trPr>
          <w:trHeight w:val="675"/>
          <w:jc w:val="center"/>
        </w:trPr>
        <w:tc>
          <w:tcPr>
            <w:tcW w:w="9071" w:type="dxa"/>
            <w:shd w:val="clear" w:color="auto" w:fill="8496B0" w:themeFill="text2" w:themeFillTint="99"/>
            <w:vAlign w:val="center"/>
          </w:tcPr>
          <w:p w:rsidR="007C6282" w:rsidRPr="007D760C" w:rsidRDefault="007C6282" w:rsidP="00FD216C">
            <w:pPr>
              <w:jc w:val="center"/>
              <w:rPr>
                <w:b/>
                <w:sz w:val="24"/>
                <w:szCs w:val="24"/>
                <w:lang w:val="en-GB"/>
              </w:rPr>
            </w:pPr>
            <w:r w:rsidRPr="007D760C">
              <w:rPr>
                <w:sz w:val="24"/>
                <w:szCs w:val="24"/>
                <w:lang w:val="en-GB"/>
              </w:rPr>
              <w:br w:type="page"/>
            </w:r>
          </w:p>
          <w:p w:rsidR="007C6282" w:rsidRPr="007D760C" w:rsidRDefault="0062731E" w:rsidP="00FD216C">
            <w:pPr>
              <w:jc w:val="center"/>
              <w:rPr>
                <w:b/>
                <w:sz w:val="24"/>
                <w:szCs w:val="24"/>
                <w:lang w:val="en-GB"/>
              </w:rPr>
            </w:pPr>
            <w:r w:rsidRPr="007D760C">
              <w:rPr>
                <w:b/>
                <w:sz w:val="24"/>
                <w:szCs w:val="24"/>
                <w:lang w:val="en-GB"/>
              </w:rPr>
              <w:t>RESULTS</w:t>
            </w:r>
            <w:r w:rsidR="00E27604" w:rsidRPr="007D760C">
              <w:rPr>
                <w:b/>
                <w:sz w:val="24"/>
                <w:szCs w:val="24"/>
                <w:lang w:val="en-GB"/>
              </w:rPr>
              <w:t xml:space="preserve"> ACHIEVED</w:t>
            </w:r>
          </w:p>
          <w:p w:rsidR="007C6282" w:rsidRPr="007D760C" w:rsidRDefault="007C6282" w:rsidP="00FD216C">
            <w:pPr>
              <w:rPr>
                <w:i/>
                <w:sz w:val="24"/>
                <w:szCs w:val="24"/>
                <w:lang w:val="en-GB"/>
              </w:rPr>
            </w:pP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lang w:val="en-GB"/>
              </w:rPr>
            </w:pPr>
            <w:r w:rsidRPr="007D760C">
              <w:rPr>
                <w:b/>
                <w:sz w:val="24"/>
                <w:szCs w:val="24"/>
                <w:u w:val="single"/>
                <w:lang w:val="en-GB"/>
              </w:rPr>
              <w:t>Standard 1</w:t>
            </w:r>
            <w:r w:rsidR="00235518" w:rsidRPr="007D760C">
              <w:rPr>
                <w:b/>
                <w:sz w:val="24"/>
                <w:szCs w:val="24"/>
                <w:u w:val="single"/>
                <w:lang w:val="en-GB"/>
              </w:rPr>
              <w:t>1</w:t>
            </w:r>
            <w:r w:rsidRPr="007D760C">
              <w:rPr>
                <w:b/>
                <w:sz w:val="24"/>
                <w:szCs w:val="24"/>
                <w:u w:val="single"/>
                <w:lang w:val="en-GB"/>
              </w:rPr>
              <w:t>:</w:t>
            </w:r>
            <w:r w:rsidR="00DE4634" w:rsidRPr="007D760C">
              <w:rPr>
                <w:b/>
                <w:sz w:val="24"/>
                <w:szCs w:val="24"/>
                <w:u w:val="single"/>
                <w:lang w:val="en-GB"/>
              </w:rPr>
              <w:t xml:space="preserve"> </w:t>
            </w:r>
            <w:r w:rsidR="0062731E" w:rsidRPr="007D760C">
              <w:rPr>
                <w:b/>
                <w:sz w:val="24"/>
                <w:szCs w:val="24"/>
                <w:u w:val="single"/>
                <w:lang w:val="en-GB"/>
              </w:rPr>
              <w:t>Changes at the outcome and societal level</w:t>
            </w:r>
            <w:r w:rsidR="006C5194">
              <w:rPr>
                <w:b/>
                <w:sz w:val="24"/>
                <w:szCs w:val="24"/>
                <w:u w:val="single"/>
                <w:lang w:val="en-GB"/>
              </w:rPr>
              <w:t>s</w:t>
            </w:r>
            <w:r w:rsidR="0062731E" w:rsidRPr="007D760C">
              <w:rPr>
                <w:b/>
                <w:sz w:val="24"/>
                <w:szCs w:val="24"/>
                <w:u w:val="single"/>
                <w:lang w:val="en-GB"/>
              </w:rPr>
              <w:t xml:space="preserve"> </w:t>
            </w:r>
          </w:p>
          <w:p w:rsidR="0062731E" w:rsidRPr="007D760C" w:rsidRDefault="0062731E">
            <w:pPr>
              <w:rPr>
                <w:sz w:val="24"/>
                <w:szCs w:val="24"/>
                <w:lang w:val="en-GB"/>
              </w:rPr>
            </w:pPr>
            <w:r w:rsidRPr="007D760C">
              <w:rPr>
                <w:sz w:val="24"/>
                <w:szCs w:val="24"/>
                <w:lang w:val="en-GB"/>
              </w:rPr>
              <w:t xml:space="preserve">With the partners, the applicant has helped produce positive change at the outcome level. The applicant has </w:t>
            </w:r>
            <w:r w:rsidR="00F953BE">
              <w:rPr>
                <w:sz w:val="24"/>
                <w:szCs w:val="24"/>
                <w:lang w:val="en-GB"/>
              </w:rPr>
              <w:t>determined the likelihood of</w:t>
            </w:r>
            <w:r w:rsidRPr="007D760C">
              <w:rPr>
                <w:sz w:val="24"/>
                <w:szCs w:val="24"/>
                <w:lang w:val="en-GB"/>
              </w:rPr>
              <w:t xml:space="preserve"> the efforts ha</w:t>
            </w:r>
            <w:r w:rsidR="006C5194">
              <w:rPr>
                <w:sz w:val="24"/>
                <w:szCs w:val="24"/>
                <w:lang w:val="en-GB"/>
              </w:rPr>
              <w:t>v</w:t>
            </w:r>
            <w:r w:rsidR="00F953BE">
              <w:rPr>
                <w:sz w:val="24"/>
                <w:szCs w:val="24"/>
                <w:lang w:val="en-GB"/>
              </w:rPr>
              <w:t>ing</w:t>
            </w:r>
            <w:r w:rsidRPr="007D760C">
              <w:rPr>
                <w:sz w:val="24"/>
                <w:szCs w:val="24"/>
                <w:lang w:val="en-GB"/>
              </w:rPr>
              <w:t xml:space="preserve"> helped produce change at the societal level. </w:t>
            </w:r>
            <w:proofErr w:type="gramStart"/>
            <w:r w:rsidRPr="007D760C">
              <w:rPr>
                <w:sz w:val="24"/>
                <w:szCs w:val="24"/>
                <w:lang w:val="en-GB"/>
              </w:rPr>
              <w:t xml:space="preserve">The applicant has documented </w:t>
            </w:r>
            <w:r w:rsidR="00DE4634" w:rsidRPr="007D760C">
              <w:rPr>
                <w:sz w:val="24"/>
                <w:szCs w:val="24"/>
                <w:lang w:val="en-GB"/>
              </w:rPr>
              <w:t xml:space="preserve">the results achieved and critically </w:t>
            </w:r>
            <w:r w:rsidR="00DC736B" w:rsidRPr="007D760C">
              <w:rPr>
                <w:sz w:val="24"/>
                <w:szCs w:val="24"/>
                <w:lang w:val="en-GB"/>
              </w:rPr>
              <w:t xml:space="preserve">reflects </w:t>
            </w:r>
            <w:r w:rsidR="00DE4634" w:rsidRPr="007D760C">
              <w:rPr>
                <w:sz w:val="24"/>
                <w:szCs w:val="24"/>
                <w:lang w:val="en-GB"/>
              </w:rPr>
              <w:t>on discrepancies and experiences.</w:t>
            </w:r>
            <w:proofErr w:type="gramEnd"/>
            <w:r w:rsidR="00DE4634" w:rsidRPr="007D760C">
              <w:rPr>
                <w:sz w:val="24"/>
                <w:szCs w:val="24"/>
                <w:lang w:val="en-GB"/>
              </w:rPr>
              <w:t xml:space="preserve"> The applicant’s </w:t>
            </w:r>
            <w:proofErr w:type="gramStart"/>
            <w:r w:rsidR="00DE4634" w:rsidRPr="007D760C">
              <w:rPr>
                <w:sz w:val="24"/>
                <w:szCs w:val="24"/>
                <w:lang w:val="en-GB"/>
              </w:rPr>
              <w:t>added value</w:t>
            </w:r>
            <w:proofErr w:type="gramEnd"/>
            <w:r w:rsidR="00DE4634" w:rsidRPr="007D760C">
              <w:rPr>
                <w:sz w:val="24"/>
                <w:szCs w:val="24"/>
                <w:lang w:val="en-GB"/>
              </w:rPr>
              <w:t xml:space="preserve"> is </w:t>
            </w:r>
            <w:r w:rsidR="00F953BE">
              <w:rPr>
                <w:sz w:val="24"/>
                <w:szCs w:val="24"/>
                <w:lang w:val="en-GB"/>
              </w:rPr>
              <w:t>appraised</w:t>
            </w:r>
            <w:r w:rsidR="00DE4634" w:rsidRPr="007D760C">
              <w:rPr>
                <w:sz w:val="24"/>
                <w:szCs w:val="24"/>
                <w:lang w:val="en-GB"/>
              </w:rPr>
              <w:t xml:space="preserve">, and if it has been </w:t>
            </w:r>
            <w:r w:rsidR="005435B0" w:rsidRPr="007D760C">
              <w:rPr>
                <w:sz w:val="24"/>
                <w:szCs w:val="24"/>
                <w:lang w:val="en-GB"/>
              </w:rPr>
              <w:t xml:space="preserve">included </w:t>
            </w:r>
            <w:r w:rsidR="00E27604">
              <w:rPr>
                <w:sz w:val="24"/>
                <w:szCs w:val="24"/>
                <w:lang w:val="en-GB"/>
              </w:rPr>
              <w:t>as an objective</w:t>
            </w:r>
            <w:r w:rsidR="005435B0" w:rsidRPr="007D760C">
              <w:rPr>
                <w:sz w:val="24"/>
                <w:szCs w:val="24"/>
                <w:lang w:val="en-GB"/>
              </w:rPr>
              <w:t xml:space="preserve"> and </w:t>
            </w:r>
            <w:r w:rsidR="00F953BE">
              <w:rPr>
                <w:sz w:val="24"/>
                <w:szCs w:val="24"/>
                <w:lang w:val="en-GB"/>
              </w:rPr>
              <w:t>is measurable</w:t>
            </w:r>
            <w:r w:rsidR="005435B0" w:rsidRPr="007D760C">
              <w:rPr>
                <w:sz w:val="24"/>
                <w:szCs w:val="24"/>
                <w:lang w:val="en-GB"/>
              </w:rPr>
              <w:t xml:space="preserve">, this will count </w:t>
            </w:r>
            <w:r w:rsidR="00E27604">
              <w:rPr>
                <w:sz w:val="24"/>
                <w:szCs w:val="24"/>
                <w:lang w:val="en-GB"/>
              </w:rPr>
              <w:t>as</w:t>
            </w:r>
            <w:r w:rsidR="00E27604" w:rsidRPr="007D760C">
              <w:rPr>
                <w:sz w:val="24"/>
                <w:szCs w:val="24"/>
                <w:lang w:val="en-GB"/>
              </w:rPr>
              <w:t xml:space="preserve"> </w:t>
            </w:r>
            <w:r w:rsidR="005435B0" w:rsidRPr="007D760C">
              <w:rPr>
                <w:sz w:val="24"/>
                <w:szCs w:val="24"/>
                <w:lang w:val="en-GB"/>
              </w:rPr>
              <w:t xml:space="preserve">a strength in the </w:t>
            </w:r>
            <w:r w:rsidR="00F953BE">
              <w:rPr>
                <w:sz w:val="24"/>
                <w:szCs w:val="24"/>
                <w:lang w:val="en-GB"/>
              </w:rPr>
              <w:t>appraisal</w:t>
            </w:r>
            <w:r w:rsidR="005435B0" w:rsidRPr="007D760C">
              <w:rPr>
                <w:sz w:val="24"/>
                <w:szCs w:val="24"/>
                <w:lang w:val="en-GB"/>
              </w:rPr>
              <w:t>.</w:t>
            </w:r>
          </w:p>
          <w:p w:rsidR="007C6282" w:rsidRPr="007D760C" w:rsidRDefault="007C6282" w:rsidP="005435B0">
            <w:pPr>
              <w:rPr>
                <w:sz w:val="24"/>
                <w:szCs w:val="24"/>
                <w:lang w:val="en-GB"/>
              </w:rPr>
            </w:pP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u w:val="single"/>
                <w:lang w:val="en-GB"/>
              </w:rPr>
            </w:pPr>
            <w:r w:rsidRPr="007D760C">
              <w:rPr>
                <w:b/>
                <w:sz w:val="24"/>
                <w:szCs w:val="24"/>
                <w:u w:val="single"/>
                <w:lang w:val="en-GB"/>
              </w:rPr>
              <w:t>Standard 1</w:t>
            </w:r>
            <w:r w:rsidR="00235518" w:rsidRPr="007D760C">
              <w:rPr>
                <w:b/>
                <w:sz w:val="24"/>
                <w:szCs w:val="24"/>
                <w:u w:val="single"/>
                <w:lang w:val="en-GB"/>
              </w:rPr>
              <w:t>2</w:t>
            </w:r>
            <w:r w:rsidRPr="007D760C">
              <w:rPr>
                <w:b/>
                <w:sz w:val="24"/>
                <w:szCs w:val="24"/>
                <w:u w:val="single"/>
                <w:lang w:val="en-GB"/>
              </w:rPr>
              <w:t xml:space="preserve">: </w:t>
            </w:r>
            <w:r w:rsidR="00E27604">
              <w:rPr>
                <w:b/>
                <w:sz w:val="24"/>
                <w:szCs w:val="24"/>
                <w:u w:val="single"/>
                <w:lang w:val="en-GB"/>
              </w:rPr>
              <w:t>Strengthening</w:t>
            </w:r>
            <w:r w:rsidR="00E27604" w:rsidRPr="007D760C">
              <w:rPr>
                <w:b/>
                <w:sz w:val="24"/>
                <w:szCs w:val="24"/>
                <w:u w:val="single"/>
                <w:lang w:val="en-GB"/>
              </w:rPr>
              <w:t xml:space="preserve"> </w:t>
            </w:r>
            <w:r w:rsidR="005435B0" w:rsidRPr="007D760C">
              <w:rPr>
                <w:b/>
                <w:sz w:val="24"/>
                <w:szCs w:val="24"/>
                <w:u w:val="single"/>
                <w:lang w:val="en-GB"/>
              </w:rPr>
              <w:t>of civil</w:t>
            </w:r>
            <w:r w:rsidR="00E27604">
              <w:rPr>
                <w:b/>
                <w:sz w:val="24"/>
                <w:szCs w:val="24"/>
                <w:u w:val="single"/>
                <w:lang w:val="en-GB"/>
              </w:rPr>
              <w:t xml:space="preserve"> </w:t>
            </w:r>
            <w:r w:rsidR="005435B0" w:rsidRPr="007D760C">
              <w:rPr>
                <w:b/>
                <w:sz w:val="24"/>
                <w:szCs w:val="24"/>
                <w:u w:val="single"/>
                <w:lang w:val="en-GB"/>
              </w:rPr>
              <w:t xml:space="preserve">society organizations </w:t>
            </w:r>
          </w:p>
          <w:p w:rsidR="005435B0" w:rsidRPr="007D760C" w:rsidRDefault="005435B0" w:rsidP="00E74A76">
            <w:pPr>
              <w:rPr>
                <w:sz w:val="24"/>
                <w:szCs w:val="24"/>
                <w:lang w:val="en-GB"/>
              </w:rPr>
            </w:pPr>
            <w:proofErr w:type="gramStart"/>
            <w:r w:rsidRPr="007D760C">
              <w:rPr>
                <w:sz w:val="24"/>
                <w:szCs w:val="24"/>
                <w:lang w:val="en-GB"/>
              </w:rPr>
              <w:t>The applicant has helped produce positive changes for civil</w:t>
            </w:r>
            <w:r w:rsidR="00E27604">
              <w:rPr>
                <w:sz w:val="24"/>
                <w:szCs w:val="24"/>
                <w:lang w:val="en-GB"/>
              </w:rPr>
              <w:t xml:space="preserve"> </w:t>
            </w:r>
            <w:r w:rsidRPr="007D760C">
              <w:rPr>
                <w:sz w:val="24"/>
                <w:szCs w:val="24"/>
                <w:lang w:val="en-GB"/>
              </w:rPr>
              <w:t xml:space="preserve">society organizations in </w:t>
            </w:r>
            <w:r w:rsidR="00E27604">
              <w:rPr>
                <w:sz w:val="24"/>
                <w:szCs w:val="24"/>
                <w:lang w:val="en-GB"/>
              </w:rPr>
              <w:t>the target country</w:t>
            </w:r>
            <w:r w:rsidRPr="007D760C">
              <w:rPr>
                <w:sz w:val="24"/>
                <w:szCs w:val="24"/>
                <w:lang w:val="en-GB"/>
              </w:rPr>
              <w:t xml:space="preserve"> and is able to provide specific documentation of this.</w:t>
            </w:r>
            <w:proofErr w:type="gramEnd"/>
          </w:p>
          <w:p w:rsidR="00E74A76" w:rsidRPr="007D760C" w:rsidRDefault="00E74A76" w:rsidP="005435B0">
            <w:pPr>
              <w:rPr>
                <w:iCs/>
                <w:sz w:val="24"/>
                <w:szCs w:val="24"/>
                <w:lang w:val="en-GB"/>
              </w:rPr>
            </w:pPr>
          </w:p>
        </w:tc>
      </w:tr>
      <w:tr w:rsidR="007C6282" w:rsidRPr="007D760C"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0F3E6A" w:rsidRPr="007D760C" w:rsidRDefault="007C6282">
            <w:pPr>
              <w:rPr>
                <w:sz w:val="24"/>
                <w:szCs w:val="24"/>
                <w:lang w:val="en-GB"/>
              </w:rPr>
            </w:pPr>
            <w:r w:rsidRPr="007D760C">
              <w:rPr>
                <w:b/>
                <w:sz w:val="24"/>
                <w:szCs w:val="24"/>
                <w:u w:val="single"/>
                <w:lang w:val="en-GB"/>
              </w:rPr>
              <w:t>Standard 1</w:t>
            </w:r>
            <w:r w:rsidR="00235518" w:rsidRPr="007D760C">
              <w:rPr>
                <w:b/>
                <w:sz w:val="24"/>
                <w:szCs w:val="24"/>
                <w:u w:val="single"/>
                <w:lang w:val="en-GB"/>
              </w:rPr>
              <w:t>3</w:t>
            </w:r>
            <w:r w:rsidRPr="007D760C">
              <w:rPr>
                <w:b/>
                <w:sz w:val="24"/>
                <w:szCs w:val="24"/>
                <w:u w:val="single"/>
                <w:lang w:val="en-GB"/>
              </w:rPr>
              <w:t xml:space="preserve">: </w:t>
            </w:r>
            <w:r w:rsidR="00235518" w:rsidRPr="007D760C">
              <w:rPr>
                <w:b/>
                <w:sz w:val="24"/>
                <w:szCs w:val="24"/>
                <w:u w:val="single"/>
                <w:lang w:val="en-GB"/>
              </w:rPr>
              <w:t>L</w:t>
            </w:r>
            <w:r w:rsidR="005435B0" w:rsidRPr="007D760C">
              <w:rPr>
                <w:b/>
                <w:sz w:val="24"/>
                <w:szCs w:val="24"/>
                <w:u w:val="single"/>
                <w:lang w:val="en-GB"/>
              </w:rPr>
              <w:t>ea</w:t>
            </w:r>
            <w:r w:rsidR="00235518" w:rsidRPr="007D760C">
              <w:rPr>
                <w:b/>
                <w:sz w:val="24"/>
                <w:szCs w:val="24"/>
                <w:u w:val="single"/>
                <w:lang w:val="en-GB"/>
              </w:rPr>
              <w:t>r</w:t>
            </w:r>
            <w:r w:rsidR="005435B0" w:rsidRPr="007D760C">
              <w:rPr>
                <w:b/>
                <w:sz w:val="24"/>
                <w:szCs w:val="24"/>
                <w:u w:val="single"/>
                <w:lang w:val="en-GB"/>
              </w:rPr>
              <w:t>n</w:t>
            </w:r>
            <w:r w:rsidR="00235518" w:rsidRPr="007D760C">
              <w:rPr>
                <w:b/>
                <w:sz w:val="24"/>
                <w:szCs w:val="24"/>
                <w:u w:val="single"/>
                <w:lang w:val="en-GB"/>
              </w:rPr>
              <w:t xml:space="preserve">ing </w:t>
            </w:r>
            <w:r w:rsidR="005435B0" w:rsidRPr="007D760C">
              <w:rPr>
                <w:b/>
                <w:sz w:val="24"/>
                <w:szCs w:val="24"/>
                <w:u w:val="single"/>
                <w:lang w:val="en-GB"/>
              </w:rPr>
              <w:t xml:space="preserve">and adaptation </w:t>
            </w:r>
          </w:p>
          <w:p w:rsidR="005435B0" w:rsidRPr="007D760C" w:rsidRDefault="005435B0" w:rsidP="00FD216C">
            <w:pPr>
              <w:rPr>
                <w:sz w:val="24"/>
                <w:szCs w:val="24"/>
                <w:lang w:val="en-GB"/>
              </w:rPr>
            </w:pPr>
            <w:r w:rsidRPr="007D760C">
              <w:rPr>
                <w:sz w:val="24"/>
                <w:szCs w:val="24"/>
                <w:lang w:val="en-GB"/>
              </w:rPr>
              <w:t xml:space="preserve">The applicant </w:t>
            </w:r>
            <w:r w:rsidR="007D760C" w:rsidRPr="007D760C">
              <w:rPr>
                <w:sz w:val="24"/>
                <w:szCs w:val="24"/>
                <w:lang w:val="en-GB"/>
              </w:rPr>
              <w:t>deliberately draws on experience and relevant evaluations to adapt and renew the efforts. The applicant provides representative examples to illustrate this.</w:t>
            </w:r>
          </w:p>
          <w:p w:rsidR="007C6282" w:rsidRPr="007D760C" w:rsidRDefault="007C6282" w:rsidP="007D760C">
            <w:pPr>
              <w:rPr>
                <w:sz w:val="24"/>
                <w:szCs w:val="24"/>
                <w:u w:val="single"/>
                <w:lang w:val="en-GB"/>
              </w:rPr>
            </w:pPr>
          </w:p>
        </w:tc>
      </w:tr>
      <w:tr w:rsidR="007C6282" w:rsidRPr="007C5834" w:rsidTr="00FD216C">
        <w:trPr>
          <w:trHeight w:val="567"/>
          <w:jc w:val="center"/>
        </w:trPr>
        <w:tc>
          <w:tcPr>
            <w:tcW w:w="9071" w:type="dxa"/>
            <w:shd w:val="clear" w:color="auto" w:fill="auto"/>
          </w:tcPr>
          <w:p w:rsidR="007C6282" w:rsidRPr="007D760C" w:rsidRDefault="007C6282" w:rsidP="00FD216C">
            <w:pPr>
              <w:rPr>
                <w:b/>
                <w:sz w:val="24"/>
                <w:szCs w:val="24"/>
                <w:u w:val="single"/>
                <w:lang w:val="en-GB"/>
              </w:rPr>
            </w:pPr>
          </w:p>
          <w:p w:rsidR="007C6282" w:rsidRPr="007D760C" w:rsidRDefault="007C6282" w:rsidP="00FD216C">
            <w:pPr>
              <w:rPr>
                <w:b/>
                <w:sz w:val="24"/>
                <w:szCs w:val="24"/>
                <w:lang w:val="en-GB"/>
              </w:rPr>
            </w:pPr>
            <w:r w:rsidRPr="007D760C">
              <w:rPr>
                <w:b/>
                <w:sz w:val="24"/>
                <w:szCs w:val="24"/>
                <w:u w:val="single"/>
                <w:lang w:val="en-GB"/>
              </w:rPr>
              <w:t>Standard 1</w:t>
            </w:r>
            <w:r w:rsidR="00FC17CC" w:rsidRPr="007D760C">
              <w:rPr>
                <w:b/>
                <w:sz w:val="24"/>
                <w:szCs w:val="24"/>
                <w:u w:val="single"/>
                <w:lang w:val="en-GB"/>
              </w:rPr>
              <w:t>4</w:t>
            </w:r>
            <w:r w:rsidRPr="007D760C">
              <w:rPr>
                <w:b/>
                <w:sz w:val="24"/>
                <w:szCs w:val="24"/>
                <w:u w:val="single"/>
                <w:lang w:val="en-GB"/>
              </w:rPr>
              <w:t xml:space="preserve">: </w:t>
            </w:r>
            <w:r w:rsidR="007D760C" w:rsidRPr="007D760C">
              <w:rPr>
                <w:b/>
                <w:sz w:val="24"/>
                <w:szCs w:val="24"/>
                <w:u w:val="single"/>
                <w:lang w:val="en-GB"/>
              </w:rPr>
              <w:t>C</w:t>
            </w:r>
            <w:r w:rsidRPr="007D760C">
              <w:rPr>
                <w:b/>
                <w:sz w:val="24"/>
                <w:szCs w:val="24"/>
                <w:u w:val="single"/>
                <w:lang w:val="en-GB"/>
              </w:rPr>
              <w:t>ost</w:t>
            </w:r>
            <w:r w:rsidR="006B75E3">
              <w:rPr>
                <w:b/>
                <w:sz w:val="24"/>
                <w:szCs w:val="24"/>
                <w:u w:val="single"/>
                <w:lang w:val="en-GB"/>
              </w:rPr>
              <w:t xml:space="preserve"> </w:t>
            </w:r>
            <w:r w:rsidR="007D760C" w:rsidRPr="007D760C">
              <w:rPr>
                <w:b/>
                <w:sz w:val="24"/>
                <w:szCs w:val="24"/>
                <w:u w:val="single"/>
                <w:lang w:val="en-GB"/>
              </w:rPr>
              <w:t xml:space="preserve">efficiency </w:t>
            </w:r>
            <w:r w:rsidR="00F47A23">
              <w:rPr>
                <w:b/>
                <w:sz w:val="24"/>
                <w:szCs w:val="24"/>
                <w:u w:val="single"/>
                <w:lang w:val="en-GB"/>
              </w:rPr>
              <w:t xml:space="preserve">and budget control </w:t>
            </w:r>
          </w:p>
          <w:p w:rsidR="00F47A23" w:rsidRDefault="00F47A23" w:rsidP="00FD216C">
            <w:pPr>
              <w:rPr>
                <w:sz w:val="24"/>
                <w:szCs w:val="24"/>
                <w:lang w:val="en-GB"/>
              </w:rPr>
            </w:pPr>
          </w:p>
          <w:p w:rsidR="00F47A23" w:rsidRDefault="00F47A23" w:rsidP="00FD216C">
            <w:pPr>
              <w:rPr>
                <w:sz w:val="24"/>
                <w:szCs w:val="24"/>
                <w:lang w:val="en-GB"/>
              </w:rPr>
            </w:pPr>
            <w:r>
              <w:rPr>
                <w:sz w:val="24"/>
                <w:szCs w:val="24"/>
                <w:lang w:val="en-GB"/>
              </w:rPr>
              <w:t xml:space="preserve">Project accounts document that the applicant has exercise good budget control and has handled any deviations appropriately.  Larger deviations between budget and </w:t>
            </w:r>
            <w:r w:rsidR="00E76369">
              <w:rPr>
                <w:sz w:val="24"/>
                <w:szCs w:val="24"/>
                <w:lang w:val="en-GB"/>
              </w:rPr>
              <w:t xml:space="preserve">accounting is explained and, where required (according to the contract), prior approval from </w:t>
            </w:r>
            <w:proofErr w:type="spellStart"/>
            <w:r w:rsidR="00E76369">
              <w:rPr>
                <w:sz w:val="24"/>
                <w:szCs w:val="24"/>
                <w:lang w:val="en-GB"/>
              </w:rPr>
              <w:t>Norad</w:t>
            </w:r>
            <w:proofErr w:type="spellEnd"/>
            <w:r w:rsidR="00E76369">
              <w:rPr>
                <w:sz w:val="24"/>
                <w:szCs w:val="24"/>
                <w:lang w:val="en-GB"/>
              </w:rPr>
              <w:t xml:space="preserve"> has been obtained.  Achieved results are according to use of funds as specified in the accounts. </w:t>
            </w:r>
          </w:p>
          <w:p w:rsidR="00F47A23" w:rsidRDefault="00F47A23" w:rsidP="00FD216C">
            <w:pPr>
              <w:rPr>
                <w:sz w:val="24"/>
                <w:szCs w:val="24"/>
                <w:lang w:val="en-GB"/>
              </w:rPr>
            </w:pPr>
          </w:p>
          <w:p w:rsidR="007D760C" w:rsidRPr="007D760C" w:rsidRDefault="007D760C" w:rsidP="00FD216C">
            <w:pPr>
              <w:rPr>
                <w:sz w:val="24"/>
                <w:szCs w:val="24"/>
                <w:lang w:val="en-GB"/>
              </w:rPr>
            </w:pPr>
          </w:p>
          <w:p w:rsidR="007C6282" w:rsidRPr="007D760C" w:rsidRDefault="007C6282" w:rsidP="007D760C">
            <w:pPr>
              <w:rPr>
                <w:sz w:val="24"/>
                <w:szCs w:val="24"/>
                <w:u w:val="single"/>
                <w:lang w:val="en-GB"/>
              </w:rPr>
            </w:pPr>
          </w:p>
        </w:tc>
      </w:tr>
    </w:tbl>
    <w:p w:rsidR="007C6282" w:rsidRPr="007D760C" w:rsidRDefault="007C6282" w:rsidP="0030004F">
      <w:pPr>
        <w:tabs>
          <w:tab w:val="left" w:pos="2694"/>
        </w:tabs>
        <w:rPr>
          <w:sz w:val="24"/>
          <w:szCs w:val="24"/>
          <w:lang w:val="en-GB"/>
        </w:rPr>
      </w:pPr>
    </w:p>
    <w:sectPr w:rsidR="007C6282" w:rsidRPr="007D76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FE" w:rsidRDefault="00A458FE" w:rsidP="007C6282">
      <w:pPr>
        <w:spacing w:after="0" w:line="240" w:lineRule="auto"/>
      </w:pPr>
      <w:r>
        <w:separator/>
      </w:r>
    </w:p>
  </w:endnote>
  <w:endnote w:type="continuationSeparator" w:id="0">
    <w:p w:rsidR="00A458FE" w:rsidRDefault="00A458FE" w:rsidP="007C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FE" w:rsidRDefault="00A458FE" w:rsidP="007C6282">
      <w:pPr>
        <w:spacing w:after="0" w:line="240" w:lineRule="auto"/>
      </w:pPr>
      <w:r>
        <w:separator/>
      </w:r>
    </w:p>
  </w:footnote>
  <w:footnote w:type="continuationSeparator" w:id="0">
    <w:p w:rsidR="00A458FE" w:rsidRDefault="00A458FE" w:rsidP="007C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2" w:rsidRPr="00C92B3F" w:rsidRDefault="00B46699" w:rsidP="0030004F">
    <w:pPr>
      <w:tabs>
        <w:tab w:val="left" w:pos="2694"/>
      </w:tabs>
      <w:rPr>
        <w:sz w:val="24"/>
        <w:szCs w:val="24"/>
      </w:rPr>
    </w:pPr>
    <w:proofErr w:type="spellStart"/>
    <w:r>
      <w:t>Approved</w:t>
    </w:r>
    <w:proofErr w:type="spellEnd"/>
    <w:r>
      <w:t xml:space="preserve"> </w:t>
    </w:r>
    <w:proofErr w:type="spellStart"/>
    <w:r>
      <w:t>version</w:t>
    </w:r>
    <w:proofErr w:type="spellEnd"/>
    <w:r w:rsidR="007C5834">
      <w:t xml:space="preserve"> 16</w:t>
    </w:r>
    <w:r w:rsidR="005A4980" w:rsidRPr="00C92B3F">
      <w:t>.0</w:t>
    </w:r>
    <w:r w:rsidR="00BC5C0A">
      <w:t>5</w:t>
    </w:r>
    <w:r w:rsidR="00D80BDC">
      <w:t>.2017</w:t>
    </w:r>
    <w:r w:rsidR="0030004F" w:rsidRPr="00C92B3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401DE"/>
    <w:multiLevelType w:val="hybridMultilevel"/>
    <w:tmpl w:val="3FFADB22"/>
    <w:lvl w:ilvl="0" w:tplc="F944693A">
      <w:numFmt w:val="bullet"/>
      <w:lvlText w:val="-"/>
      <w:lvlJc w:val="left"/>
      <w:pPr>
        <w:ind w:left="720" w:hanging="360"/>
      </w:pPr>
      <w:rPr>
        <w:rFonts w:ascii="Calibri" w:eastAsiaTheme="minorHAnsi" w:hAnsi="Calibri"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82"/>
    <w:rsid w:val="00001BCA"/>
    <w:rsid w:val="000061CF"/>
    <w:rsid w:val="00024230"/>
    <w:rsid w:val="00055E9C"/>
    <w:rsid w:val="000653C3"/>
    <w:rsid w:val="00072BA3"/>
    <w:rsid w:val="000954FC"/>
    <w:rsid w:val="00096C98"/>
    <w:rsid w:val="000A0D08"/>
    <w:rsid w:val="000E2F3C"/>
    <w:rsid w:val="000F3E6A"/>
    <w:rsid w:val="0010765A"/>
    <w:rsid w:val="00143746"/>
    <w:rsid w:val="00157954"/>
    <w:rsid w:val="00157A2A"/>
    <w:rsid w:val="001718C2"/>
    <w:rsid w:val="001975F7"/>
    <w:rsid w:val="001A1E30"/>
    <w:rsid w:val="001C0361"/>
    <w:rsid w:val="001C0393"/>
    <w:rsid w:val="001C0FF1"/>
    <w:rsid w:val="001C2D1B"/>
    <w:rsid w:val="001C3A9D"/>
    <w:rsid w:val="002035F3"/>
    <w:rsid w:val="00217C5B"/>
    <w:rsid w:val="00235518"/>
    <w:rsid w:val="002458A1"/>
    <w:rsid w:val="00270EA0"/>
    <w:rsid w:val="00271E5C"/>
    <w:rsid w:val="002723C9"/>
    <w:rsid w:val="002829AC"/>
    <w:rsid w:val="00286C44"/>
    <w:rsid w:val="00297FB4"/>
    <w:rsid w:val="002E1A49"/>
    <w:rsid w:val="0030004F"/>
    <w:rsid w:val="003103AD"/>
    <w:rsid w:val="003156D8"/>
    <w:rsid w:val="00330DFA"/>
    <w:rsid w:val="00332E4C"/>
    <w:rsid w:val="0034150F"/>
    <w:rsid w:val="003441F7"/>
    <w:rsid w:val="003462EE"/>
    <w:rsid w:val="00346BE0"/>
    <w:rsid w:val="00352BC9"/>
    <w:rsid w:val="00356849"/>
    <w:rsid w:val="003900CA"/>
    <w:rsid w:val="00391BD3"/>
    <w:rsid w:val="00396F61"/>
    <w:rsid w:val="003C7DFF"/>
    <w:rsid w:val="003D1FFF"/>
    <w:rsid w:val="00421936"/>
    <w:rsid w:val="00430B40"/>
    <w:rsid w:val="00443376"/>
    <w:rsid w:val="004533D0"/>
    <w:rsid w:val="0046479E"/>
    <w:rsid w:val="004A0253"/>
    <w:rsid w:val="004A742C"/>
    <w:rsid w:val="004C4EED"/>
    <w:rsid w:val="00507428"/>
    <w:rsid w:val="005435B0"/>
    <w:rsid w:val="00564B1F"/>
    <w:rsid w:val="005665D6"/>
    <w:rsid w:val="005809B8"/>
    <w:rsid w:val="005838DC"/>
    <w:rsid w:val="005A2929"/>
    <w:rsid w:val="005A4980"/>
    <w:rsid w:val="005C1AB8"/>
    <w:rsid w:val="005D024B"/>
    <w:rsid w:val="005E3625"/>
    <w:rsid w:val="005F120A"/>
    <w:rsid w:val="005F16FC"/>
    <w:rsid w:val="006034B7"/>
    <w:rsid w:val="0062731E"/>
    <w:rsid w:val="0063559D"/>
    <w:rsid w:val="00647E51"/>
    <w:rsid w:val="00686298"/>
    <w:rsid w:val="00695DDF"/>
    <w:rsid w:val="006A2FC0"/>
    <w:rsid w:val="006A6B5E"/>
    <w:rsid w:val="006B75E3"/>
    <w:rsid w:val="006C2C17"/>
    <w:rsid w:val="006C5194"/>
    <w:rsid w:val="006D70B1"/>
    <w:rsid w:val="00702EAD"/>
    <w:rsid w:val="00720603"/>
    <w:rsid w:val="0072655C"/>
    <w:rsid w:val="00744886"/>
    <w:rsid w:val="00760870"/>
    <w:rsid w:val="007901FA"/>
    <w:rsid w:val="0079700B"/>
    <w:rsid w:val="007A0F86"/>
    <w:rsid w:val="007C2DE6"/>
    <w:rsid w:val="007C5834"/>
    <w:rsid w:val="007C6282"/>
    <w:rsid w:val="007D760C"/>
    <w:rsid w:val="007F5496"/>
    <w:rsid w:val="00804C7F"/>
    <w:rsid w:val="00824D92"/>
    <w:rsid w:val="00825D9A"/>
    <w:rsid w:val="00830A1F"/>
    <w:rsid w:val="008440B3"/>
    <w:rsid w:val="008442CB"/>
    <w:rsid w:val="008469A9"/>
    <w:rsid w:val="00855269"/>
    <w:rsid w:val="008A6FFC"/>
    <w:rsid w:val="008B7678"/>
    <w:rsid w:val="008C5E7D"/>
    <w:rsid w:val="008E1161"/>
    <w:rsid w:val="008E3175"/>
    <w:rsid w:val="008E3C2C"/>
    <w:rsid w:val="0090014A"/>
    <w:rsid w:val="00900E82"/>
    <w:rsid w:val="00902091"/>
    <w:rsid w:val="009034F5"/>
    <w:rsid w:val="00912C06"/>
    <w:rsid w:val="00917D3D"/>
    <w:rsid w:val="00925D14"/>
    <w:rsid w:val="00930DE4"/>
    <w:rsid w:val="00941944"/>
    <w:rsid w:val="00997ACB"/>
    <w:rsid w:val="009A4ACD"/>
    <w:rsid w:val="009B01F6"/>
    <w:rsid w:val="009B481A"/>
    <w:rsid w:val="009B5B17"/>
    <w:rsid w:val="009B5C72"/>
    <w:rsid w:val="009C4FEE"/>
    <w:rsid w:val="009F0234"/>
    <w:rsid w:val="009F5A4C"/>
    <w:rsid w:val="00A12C2E"/>
    <w:rsid w:val="00A26445"/>
    <w:rsid w:val="00A26A5F"/>
    <w:rsid w:val="00A319A1"/>
    <w:rsid w:val="00A35DBC"/>
    <w:rsid w:val="00A361D2"/>
    <w:rsid w:val="00A44CC9"/>
    <w:rsid w:val="00A458FE"/>
    <w:rsid w:val="00A533AD"/>
    <w:rsid w:val="00AA1382"/>
    <w:rsid w:val="00AA31F2"/>
    <w:rsid w:val="00AA3BEF"/>
    <w:rsid w:val="00AB158C"/>
    <w:rsid w:val="00AC4F5B"/>
    <w:rsid w:val="00AF2BEB"/>
    <w:rsid w:val="00AF5764"/>
    <w:rsid w:val="00B0258A"/>
    <w:rsid w:val="00B03C85"/>
    <w:rsid w:val="00B2627C"/>
    <w:rsid w:val="00B3396F"/>
    <w:rsid w:val="00B4276F"/>
    <w:rsid w:val="00B42D85"/>
    <w:rsid w:val="00B46699"/>
    <w:rsid w:val="00B67517"/>
    <w:rsid w:val="00B72884"/>
    <w:rsid w:val="00BA1690"/>
    <w:rsid w:val="00BA6335"/>
    <w:rsid w:val="00BB5BEA"/>
    <w:rsid w:val="00BB7FA0"/>
    <w:rsid w:val="00BC5C0A"/>
    <w:rsid w:val="00C11E9A"/>
    <w:rsid w:val="00C171F8"/>
    <w:rsid w:val="00C41220"/>
    <w:rsid w:val="00C4207D"/>
    <w:rsid w:val="00C459B5"/>
    <w:rsid w:val="00C47260"/>
    <w:rsid w:val="00C62AB7"/>
    <w:rsid w:val="00C70C53"/>
    <w:rsid w:val="00C92B3F"/>
    <w:rsid w:val="00CC5269"/>
    <w:rsid w:val="00CD185D"/>
    <w:rsid w:val="00CD7076"/>
    <w:rsid w:val="00CE52D2"/>
    <w:rsid w:val="00CE6EA0"/>
    <w:rsid w:val="00CE7739"/>
    <w:rsid w:val="00D24FF4"/>
    <w:rsid w:val="00D26AF5"/>
    <w:rsid w:val="00D34DBC"/>
    <w:rsid w:val="00D757F0"/>
    <w:rsid w:val="00D80A8A"/>
    <w:rsid w:val="00D80BDC"/>
    <w:rsid w:val="00DA724C"/>
    <w:rsid w:val="00DB4ADE"/>
    <w:rsid w:val="00DC245B"/>
    <w:rsid w:val="00DC736B"/>
    <w:rsid w:val="00DE3A73"/>
    <w:rsid w:val="00DE4634"/>
    <w:rsid w:val="00DF4BC3"/>
    <w:rsid w:val="00DF4F3E"/>
    <w:rsid w:val="00E07E9C"/>
    <w:rsid w:val="00E12FDB"/>
    <w:rsid w:val="00E163B0"/>
    <w:rsid w:val="00E17A2A"/>
    <w:rsid w:val="00E25B9A"/>
    <w:rsid w:val="00E26D39"/>
    <w:rsid w:val="00E27604"/>
    <w:rsid w:val="00E74A76"/>
    <w:rsid w:val="00E76369"/>
    <w:rsid w:val="00E90917"/>
    <w:rsid w:val="00EB2D60"/>
    <w:rsid w:val="00EB3D3C"/>
    <w:rsid w:val="00EB7661"/>
    <w:rsid w:val="00EE1E68"/>
    <w:rsid w:val="00F17815"/>
    <w:rsid w:val="00F22E0B"/>
    <w:rsid w:val="00F23513"/>
    <w:rsid w:val="00F32FFF"/>
    <w:rsid w:val="00F3450D"/>
    <w:rsid w:val="00F47A23"/>
    <w:rsid w:val="00F56532"/>
    <w:rsid w:val="00F62130"/>
    <w:rsid w:val="00F8327B"/>
    <w:rsid w:val="00F953BE"/>
    <w:rsid w:val="00FB4D7F"/>
    <w:rsid w:val="00FC17CC"/>
    <w:rsid w:val="00FC75BB"/>
    <w:rsid w:val="00FD5931"/>
    <w:rsid w:val="00FE089C"/>
    <w:rsid w:val="00FE2881"/>
    <w:rsid w:val="00FE78EE"/>
    <w:rsid w:val="00FF7F26"/>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6B7C7"/>
  <w15:chartTrackingRefBased/>
  <w15:docId w15:val="{61C2288E-BE8A-4D50-91F9-513AAE16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282"/>
    <w:pPr>
      <w:spacing w:after="0" w:line="240" w:lineRule="auto"/>
    </w:pPr>
    <w:rPr>
      <w:rFonts w:eastAsiaTheme="minorHAnsi"/>
      <w:lang w:val="da-DK"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2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282"/>
    <w:rPr>
      <w:rFonts w:cs="Arial Unicode MS"/>
    </w:rPr>
  </w:style>
  <w:style w:type="paragraph" w:styleId="Footer">
    <w:name w:val="footer"/>
    <w:basedOn w:val="Normal"/>
    <w:link w:val="FooterChar"/>
    <w:uiPriority w:val="99"/>
    <w:unhideWhenUsed/>
    <w:rsid w:val="007C62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282"/>
    <w:rPr>
      <w:rFonts w:cs="Arial Unicode MS"/>
    </w:rPr>
  </w:style>
  <w:style w:type="paragraph" w:styleId="BalloonText">
    <w:name w:val="Balloon Text"/>
    <w:basedOn w:val="Normal"/>
    <w:link w:val="BalloonTextChar"/>
    <w:uiPriority w:val="99"/>
    <w:semiHidden/>
    <w:unhideWhenUsed/>
    <w:rsid w:val="007C6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82"/>
    <w:rPr>
      <w:rFonts w:ascii="Segoe UI" w:hAnsi="Segoe UI" w:cs="Segoe UI"/>
      <w:sz w:val="18"/>
      <w:szCs w:val="18"/>
    </w:rPr>
  </w:style>
  <w:style w:type="character" w:styleId="CommentReference">
    <w:name w:val="annotation reference"/>
    <w:basedOn w:val="DefaultParagraphFont"/>
    <w:uiPriority w:val="99"/>
    <w:semiHidden/>
    <w:unhideWhenUsed/>
    <w:rsid w:val="006A6B5E"/>
    <w:rPr>
      <w:sz w:val="16"/>
      <w:szCs w:val="16"/>
    </w:rPr>
  </w:style>
  <w:style w:type="paragraph" w:styleId="CommentText">
    <w:name w:val="annotation text"/>
    <w:basedOn w:val="Normal"/>
    <w:link w:val="CommentTextChar"/>
    <w:uiPriority w:val="99"/>
    <w:semiHidden/>
    <w:unhideWhenUsed/>
    <w:rsid w:val="006A6B5E"/>
    <w:pPr>
      <w:spacing w:line="240" w:lineRule="auto"/>
    </w:pPr>
    <w:rPr>
      <w:sz w:val="20"/>
      <w:szCs w:val="20"/>
    </w:rPr>
  </w:style>
  <w:style w:type="character" w:customStyle="1" w:styleId="CommentTextChar">
    <w:name w:val="Comment Text Char"/>
    <w:basedOn w:val="DefaultParagraphFont"/>
    <w:link w:val="CommentText"/>
    <w:uiPriority w:val="99"/>
    <w:semiHidden/>
    <w:rsid w:val="006A6B5E"/>
    <w:rPr>
      <w:rFonts w:cs="Arial Unicode MS"/>
      <w:sz w:val="20"/>
      <w:szCs w:val="20"/>
    </w:rPr>
  </w:style>
  <w:style w:type="paragraph" w:styleId="CommentSubject">
    <w:name w:val="annotation subject"/>
    <w:basedOn w:val="CommentText"/>
    <w:next w:val="CommentText"/>
    <w:link w:val="CommentSubjectChar"/>
    <w:uiPriority w:val="99"/>
    <w:semiHidden/>
    <w:unhideWhenUsed/>
    <w:rsid w:val="006A6B5E"/>
    <w:rPr>
      <w:b/>
      <w:bCs/>
    </w:rPr>
  </w:style>
  <w:style w:type="character" w:customStyle="1" w:styleId="CommentSubjectChar">
    <w:name w:val="Comment Subject Char"/>
    <w:basedOn w:val="CommentTextChar"/>
    <w:link w:val="CommentSubject"/>
    <w:uiPriority w:val="99"/>
    <w:semiHidden/>
    <w:rsid w:val="006A6B5E"/>
    <w:rPr>
      <w:rFonts w:cs="Arial Unicode MS"/>
      <w:b/>
      <w:bCs/>
      <w:sz w:val="20"/>
      <w:szCs w:val="20"/>
    </w:rPr>
  </w:style>
  <w:style w:type="paragraph" w:styleId="ListParagraph">
    <w:name w:val="List Paragraph"/>
    <w:basedOn w:val="Normal"/>
    <w:uiPriority w:val="34"/>
    <w:qFormat/>
    <w:rsid w:val="00686298"/>
    <w:pPr>
      <w:ind w:left="720"/>
      <w:contextualSpacing/>
    </w:pPr>
  </w:style>
  <w:style w:type="paragraph" w:styleId="Revision">
    <w:name w:val="Revision"/>
    <w:hidden/>
    <w:uiPriority w:val="99"/>
    <w:semiHidden/>
    <w:rsid w:val="00824D92"/>
    <w:pPr>
      <w:spacing w:after="0" w:line="240" w:lineRule="auto"/>
    </w:pPr>
    <w:rPr>
      <w:rFonts w:cs="Arial Unicode MS"/>
    </w:rPr>
  </w:style>
  <w:style w:type="paragraph" w:customStyle="1" w:styleId="Default">
    <w:name w:val="Default"/>
    <w:rsid w:val="005C1AB8"/>
    <w:pPr>
      <w:autoSpaceDE w:val="0"/>
      <w:autoSpaceDN w:val="0"/>
      <w:adjustRightInd w:val="0"/>
      <w:spacing w:after="0" w:line="240" w:lineRule="auto"/>
    </w:pPr>
    <w:rPr>
      <w:rFonts w:ascii="DepCentury Old Style" w:hAnsi="DepCentury Old Style" w:cs="DepCentury Old Styl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5623-7042-418A-9A8B-04A5FA63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5329</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Osnes, Marie</dc:creator>
  <cp:keywords/>
  <dc:description/>
  <cp:lastModifiedBy>Sjøveian, Solbjørg</cp:lastModifiedBy>
  <cp:revision>2</cp:revision>
  <cp:lastPrinted>2017-05-22T11:30:00Z</cp:lastPrinted>
  <dcterms:created xsi:type="dcterms:W3CDTF">2017-05-22T12:36:00Z</dcterms:created>
  <dcterms:modified xsi:type="dcterms:W3CDTF">2017-05-22T12:36:00Z</dcterms:modified>
</cp:coreProperties>
</file>