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E3F6" w14:textId="3F07C642" w:rsidR="00DD50BC" w:rsidRPr="00E66E33" w:rsidRDefault="00DD50BC" w:rsidP="7F184F97">
      <w:pPr>
        <w:jc w:val="center"/>
        <w:rPr>
          <w:b/>
          <w:bCs/>
          <w:sz w:val="28"/>
          <w:szCs w:val="28"/>
          <w:u w:val="single"/>
          <w:lang w:val="en-GB"/>
        </w:rPr>
      </w:pPr>
      <w:r w:rsidRPr="00E66E33">
        <w:rPr>
          <w:b/>
          <w:bCs/>
          <w:sz w:val="28"/>
          <w:szCs w:val="28"/>
          <w:u w:val="single"/>
          <w:lang w:val="en-GB"/>
        </w:rPr>
        <w:t>Theory of Change (</w:t>
      </w:r>
      <w:proofErr w:type="spellStart"/>
      <w:r w:rsidRPr="00E66E33">
        <w:rPr>
          <w:b/>
          <w:bCs/>
          <w:sz w:val="28"/>
          <w:szCs w:val="28"/>
          <w:u w:val="single"/>
          <w:lang w:val="en-GB"/>
        </w:rPr>
        <w:t>ToC</w:t>
      </w:r>
      <w:proofErr w:type="spellEnd"/>
      <w:r w:rsidRPr="00E66E33">
        <w:rPr>
          <w:b/>
          <w:bCs/>
          <w:sz w:val="28"/>
          <w:szCs w:val="28"/>
          <w:u w:val="single"/>
          <w:lang w:val="en-GB"/>
        </w:rPr>
        <w:t>) for the Norad portfolio on civic space</w:t>
      </w:r>
      <w:r w:rsidR="222C50AF" w:rsidRPr="00E66E33">
        <w:rPr>
          <w:b/>
          <w:bCs/>
          <w:sz w:val="28"/>
          <w:szCs w:val="28"/>
          <w:u w:val="single"/>
          <w:lang w:val="en-GB"/>
        </w:rPr>
        <w:t xml:space="preserve"> [April 2025]</w:t>
      </w:r>
      <w:r w:rsidRPr="00E66E33">
        <w:rPr>
          <w:b/>
          <w:bCs/>
          <w:sz w:val="28"/>
          <w:szCs w:val="28"/>
          <w:u w:val="single"/>
          <w:lang w:val="en-GB"/>
        </w:rPr>
        <w:t xml:space="preserve"> </w:t>
      </w:r>
    </w:p>
    <w:p w14:paraId="1177CEDE" w14:textId="2E073DF0" w:rsidR="006331B5" w:rsidRPr="00E66E33" w:rsidRDefault="5367F84D" w:rsidP="7F184F97">
      <w:pPr>
        <w:jc w:val="both"/>
        <w:rPr>
          <w:b/>
          <w:bCs/>
          <w:lang w:val="en-GB"/>
        </w:rPr>
      </w:pPr>
      <w:r w:rsidRPr="00E66E33">
        <w:rPr>
          <w:b/>
          <w:bCs/>
          <w:lang w:val="en-GB"/>
        </w:rPr>
        <w:t xml:space="preserve">Why </w:t>
      </w:r>
      <w:r w:rsidRPr="7F184F97">
        <w:rPr>
          <w:b/>
          <w:bCs/>
          <w:lang w:val="en-GB"/>
        </w:rPr>
        <w:t xml:space="preserve">have </w:t>
      </w:r>
      <w:r w:rsidRPr="00E66E33">
        <w:rPr>
          <w:b/>
          <w:bCs/>
          <w:lang w:val="en-GB"/>
        </w:rPr>
        <w:t xml:space="preserve">a portfolio on civic space? </w:t>
      </w:r>
    </w:p>
    <w:p w14:paraId="5D84658F" w14:textId="4F0E3DC0" w:rsidR="0040079D" w:rsidRPr="005828A5" w:rsidRDefault="00B178CC" w:rsidP="0040079D">
      <w:pPr>
        <w:jc w:val="both"/>
        <w:rPr>
          <w:lang w:val="en-US"/>
        </w:rPr>
      </w:pPr>
      <w:r w:rsidRPr="00A02F3E">
        <w:rPr>
          <w:rFonts w:ascii="Calibri" w:eastAsia="Calibri" w:hAnsi="Calibri" w:cs="Calibri"/>
          <w:lang w:val="en-US"/>
        </w:rPr>
        <w:t xml:space="preserve">Civic space </w:t>
      </w:r>
      <w:r w:rsidR="00FC4A9B">
        <w:rPr>
          <w:rFonts w:ascii="Calibri" w:eastAsia="Calibri" w:hAnsi="Calibri" w:cs="Calibri"/>
          <w:lang w:val="en-US"/>
        </w:rPr>
        <w:t>is what</w:t>
      </w:r>
      <w:r w:rsidRPr="00A02F3E">
        <w:rPr>
          <w:rFonts w:ascii="Calibri" w:eastAsia="Calibri" w:hAnsi="Calibri" w:cs="Calibri"/>
          <w:lang w:val="en-US"/>
        </w:rPr>
        <w:t xml:space="preserve"> enables individuals and civil society organizations to organize, participate, and communicate freely to influence political and social structures. It encompasses legal, policy, institutional, and practical conditions that protect fundamental </w:t>
      </w:r>
      <w:r w:rsidR="00127F9B">
        <w:rPr>
          <w:rFonts w:ascii="Calibri" w:eastAsia="Calibri" w:hAnsi="Calibri" w:cs="Calibri"/>
          <w:lang w:val="en-US"/>
        </w:rPr>
        <w:t>human rights</w:t>
      </w:r>
      <w:r w:rsidRPr="00A02F3E">
        <w:rPr>
          <w:rFonts w:ascii="Calibri" w:eastAsia="Calibri" w:hAnsi="Calibri" w:cs="Calibri"/>
          <w:lang w:val="en-US"/>
        </w:rPr>
        <w:t>, including freedom of expression, peaceful assembly, and association. </w:t>
      </w:r>
      <w:r w:rsidRPr="00B178CC">
        <w:rPr>
          <w:rFonts w:ascii="Calibri" w:eastAsia="Calibri" w:hAnsi="Calibri" w:cs="Calibri"/>
          <w:lang w:val="en-GB"/>
        </w:rPr>
        <w:t xml:space="preserve"> </w:t>
      </w:r>
      <w:r w:rsidR="0040079D" w:rsidRPr="005828A5">
        <w:rPr>
          <w:lang w:val="en-US"/>
        </w:rPr>
        <w:t>Civic space is defined as the combination of the</w:t>
      </w:r>
      <w:r w:rsidR="33161768" w:rsidRPr="005828A5">
        <w:rPr>
          <w:lang w:val="en-US"/>
        </w:rPr>
        <w:t>se</w:t>
      </w:r>
      <w:r w:rsidR="0040079D" w:rsidRPr="005828A5">
        <w:rPr>
          <w:lang w:val="en-US"/>
        </w:rPr>
        <w:t xml:space="preserve"> civil and political rights and the state’s duty to protect these </w:t>
      </w:r>
      <w:r w:rsidR="172CED4D" w:rsidRPr="005828A5">
        <w:rPr>
          <w:lang w:val="en-US"/>
        </w:rPr>
        <w:t xml:space="preserve">universal </w:t>
      </w:r>
      <w:r w:rsidR="0040079D" w:rsidRPr="005828A5">
        <w:rPr>
          <w:lang w:val="en-US"/>
        </w:rPr>
        <w:t>freedoms.</w:t>
      </w:r>
      <w:r w:rsidR="0040079D" w:rsidRPr="45C08FE8">
        <w:rPr>
          <w:rStyle w:val="FootnoteReference"/>
        </w:rPr>
        <w:footnoteReference w:id="2"/>
      </w:r>
      <w:r w:rsidR="0040079D" w:rsidRPr="005828A5">
        <w:rPr>
          <w:lang w:val="en-US"/>
        </w:rPr>
        <w:t xml:space="preserve"> </w:t>
      </w:r>
      <w:r w:rsidR="00863FE7" w:rsidRPr="00B67504">
        <w:rPr>
          <w:lang w:val="en-US"/>
        </w:rPr>
        <w:t xml:space="preserve">Human rights legislation places the responsibility to protect civic space on the state, and a functioning civic space, i.e. a space where states </w:t>
      </w:r>
      <w:r w:rsidR="21286B2E" w:rsidRPr="00B67504">
        <w:rPr>
          <w:lang w:val="en-US"/>
        </w:rPr>
        <w:t xml:space="preserve">effectively </w:t>
      </w:r>
      <w:r w:rsidR="00863FE7" w:rsidRPr="00B67504">
        <w:rPr>
          <w:lang w:val="en-US"/>
        </w:rPr>
        <w:t xml:space="preserve">protect these freedoms, is a prerequisite for civil society to exercise its </w:t>
      </w:r>
      <w:r w:rsidR="6555E27A" w:rsidRPr="00B67504">
        <w:rPr>
          <w:lang w:val="en-US"/>
        </w:rPr>
        <w:t xml:space="preserve">independent </w:t>
      </w:r>
      <w:r w:rsidR="00863FE7" w:rsidRPr="00B67504">
        <w:rPr>
          <w:lang w:val="en-US"/>
        </w:rPr>
        <w:t>role.</w:t>
      </w:r>
    </w:p>
    <w:p w14:paraId="2A9124B7" w14:textId="3F5A44A9" w:rsidR="005D2744" w:rsidRDefault="640C6D13" w:rsidP="00DD50BC">
      <w:pPr>
        <w:jc w:val="both"/>
        <w:rPr>
          <w:lang w:val="en-GB"/>
        </w:rPr>
      </w:pPr>
      <w:r w:rsidRPr="3619D191">
        <w:rPr>
          <w:rFonts w:ascii="Calibri" w:eastAsia="Calibri" w:hAnsi="Calibri" w:cs="Calibri"/>
          <w:lang w:val="en-GB"/>
        </w:rPr>
        <w:t xml:space="preserve">Support to civil society is central to enhancing development, human rights and democracy and to counter shrinking civic space. </w:t>
      </w:r>
      <w:r w:rsidR="3D09E61D" w:rsidRPr="005828A5">
        <w:rPr>
          <w:lang w:val="en-US"/>
        </w:rPr>
        <w:t>Civil society is “</w:t>
      </w:r>
      <w:r w:rsidR="3D09E61D" w:rsidRPr="7F184F97">
        <w:rPr>
          <w:i/>
          <w:iCs/>
          <w:lang w:val="en-US"/>
        </w:rPr>
        <w:t>…</w:t>
      </w:r>
      <w:r w:rsidR="5E792F6A" w:rsidRPr="7F184F97">
        <w:rPr>
          <w:i/>
          <w:iCs/>
          <w:lang w:val="en-US"/>
        </w:rPr>
        <w:t xml:space="preserve"> </w:t>
      </w:r>
      <w:r w:rsidR="3D09E61D" w:rsidRPr="7F184F97">
        <w:rPr>
          <w:i/>
          <w:iCs/>
          <w:lang w:val="en-US"/>
        </w:rPr>
        <w:t xml:space="preserve">an arena where people come together to promote interests and needs on behalf of themselves and others, challenge </w:t>
      </w:r>
      <w:proofErr w:type="gramStart"/>
      <w:r w:rsidR="3D09E61D" w:rsidRPr="7F184F97">
        <w:rPr>
          <w:i/>
          <w:iCs/>
          <w:lang w:val="en-US"/>
        </w:rPr>
        <w:t>power-holders</w:t>
      </w:r>
      <w:proofErr w:type="gramEnd"/>
      <w:r w:rsidR="3D09E61D" w:rsidRPr="7F184F97">
        <w:rPr>
          <w:i/>
          <w:iCs/>
          <w:lang w:val="en-US"/>
        </w:rPr>
        <w:t xml:space="preserve">, and influence political debates. Civil society includes formally registered </w:t>
      </w:r>
      <w:proofErr w:type="spellStart"/>
      <w:r w:rsidR="3D09E61D" w:rsidRPr="7F184F97">
        <w:rPr>
          <w:i/>
          <w:iCs/>
          <w:lang w:val="en-US"/>
        </w:rPr>
        <w:t>organisations</w:t>
      </w:r>
      <w:proofErr w:type="spellEnd"/>
      <w:r w:rsidR="3D09E61D" w:rsidRPr="7F184F97">
        <w:rPr>
          <w:i/>
          <w:iCs/>
          <w:lang w:val="en-US"/>
        </w:rPr>
        <w:t xml:space="preserve">, informal grassroots </w:t>
      </w:r>
      <w:proofErr w:type="spellStart"/>
      <w:r w:rsidR="3D09E61D" w:rsidRPr="7F184F97">
        <w:rPr>
          <w:i/>
          <w:iCs/>
          <w:lang w:val="en-US"/>
        </w:rPr>
        <w:t>organisations</w:t>
      </w:r>
      <w:proofErr w:type="spellEnd"/>
      <w:r w:rsidR="3D09E61D" w:rsidRPr="7F184F97">
        <w:rPr>
          <w:i/>
          <w:iCs/>
          <w:lang w:val="en-US"/>
        </w:rPr>
        <w:t xml:space="preserve"> and social movements</w:t>
      </w:r>
      <w:r w:rsidR="3D09E61D" w:rsidRPr="005828A5">
        <w:rPr>
          <w:lang w:val="en-US"/>
        </w:rPr>
        <w:t>”.</w:t>
      </w:r>
      <w:r w:rsidR="00DA5605" w:rsidRPr="45C08FE8">
        <w:rPr>
          <w:rStyle w:val="FootnoteReference"/>
        </w:rPr>
        <w:footnoteReference w:id="3"/>
      </w:r>
      <w:r w:rsidR="16D958B6" w:rsidRPr="001F773D">
        <w:rPr>
          <w:lang w:val="en-GB"/>
        </w:rPr>
        <w:t xml:space="preserve"> </w:t>
      </w:r>
      <w:r w:rsidR="16D958B6">
        <w:rPr>
          <w:lang w:val="en-GB"/>
        </w:rPr>
        <w:t>This definition does not exclude anti-democratic civil society actors</w:t>
      </w:r>
      <w:r w:rsidR="75DBECAD">
        <w:rPr>
          <w:lang w:val="en-GB"/>
        </w:rPr>
        <w:t xml:space="preserve">. Further, </w:t>
      </w:r>
      <w:r w:rsidR="16D958B6">
        <w:rPr>
          <w:lang w:val="en-GB"/>
        </w:rPr>
        <w:t xml:space="preserve">civil society may be fragmented, </w:t>
      </w:r>
      <w:r w:rsidR="16D958B6" w:rsidRPr="00936CAE">
        <w:rPr>
          <w:lang w:val="en-GB"/>
        </w:rPr>
        <w:t>reflecting social and societal divides and polarisation</w:t>
      </w:r>
      <w:r w:rsidR="16D958B6">
        <w:rPr>
          <w:lang w:val="en-GB"/>
        </w:rPr>
        <w:t>.</w:t>
      </w:r>
      <w:r w:rsidR="04EA5AA1" w:rsidRPr="00B065D8">
        <w:rPr>
          <w:lang w:val="en-GB"/>
        </w:rPr>
        <w:t xml:space="preserve"> </w:t>
      </w:r>
      <w:r w:rsidR="04EA5AA1">
        <w:rPr>
          <w:lang w:val="en-GB"/>
        </w:rPr>
        <w:t xml:space="preserve">Nevertheless, </w:t>
      </w:r>
      <w:r w:rsidR="421750A4" w:rsidRPr="7F184F97">
        <w:rPr>
          <w:lang w:val="en-GB"/>
        </w:rPr>
        <w:t xml:space="preserve">a vibrant </w:t>
      </w:r>
      <w:r w:rsidR="04EA5AA1">
        <w:rPr>
          <w:lang w:val="en-GB"/>
        </w:rPr>
        <w:t>civil society is considered central for advancing sustainable and inclusive development, human rights</w:t>
      </w:r>
      <w:r w:rsidR="04EA5AA1" w:rsidRPr="00B9538C">
        <w:rPr>
          <w:lang w:val="en-GB"/>
        </w:rPr>
        <w:t xml:space="preserve"> and democracy</w:t>
      </w:r>
      <w:r w:rsidR="04EA5AA1">
        <w:rPr>
          <w:lang w:val="en-GB"/>
        </w:rPr>
        <w:t>,</w:t>
      </w:r>
      <w:r w:rsidR="04EA5AA1" w:rsidRPr="00B9538C">
        <w:rPr>
          <w:lang w:val="en-GB"/>
        </w:rPr>
        <w:t xml:space="preserve"> </w:t>
      </w:r>
      <w:r w:rsidR="03A9D93F" w:rsidRPr="7F184F97">
        <w:rPr>
          <w:lang w:val="en-GB"/>
        </w:rPr>
        <w:t xml:space="preserve">as well as </w:t>
      </w:r>
      <w:r w:rsidR="2648E494">
        <w:rPr>
          <w:lang w:val="en-GB"/>
        </w:rPr>
        <w:t>upholding</w:t>
      </w:r>
      <w:r w:rsidR="04EA5AA1">
        <w:rPr>
          <w:lang w:val="en-GB"/>
        </w:rPr>
        <w:t xml:space="preserve"> civic space. </w:t>
      </w:r>
      <w:r w:rsidR="5EE2B051">
        <w:rPr>
          <w:rFonts w:ascii="Calibri" w:eastAsia="Calibri" w:hAnsi="Calibri" w:cs="Calibri"/>
          <w:lang w:val="en-GB"/>
        </w:rPr>
        <w:t xml:space="preserve">Although there are </w:t>
      </w:r>
      <w:r w:rsidR="79AF6BE3">
        <w:rPr>
          <w:rFonts w:ascii="Calibri" w:eastAsia="Calibri" w:hAnsi="Calibri" w:cs="Calibri"/>
          <w:lang w:val="en-GB"/>
        </w:rPr>
        <w:t xml:space="preserve">several contextual nuances, </w:t>
      </w:r>
      <w:r w:rsidR="79AF6BE3">
        <w:rPr>
          <w:lang w:val="en-GB"/>
        </w:rPr>
        <w:t>e</w:t>
      </w:r>
      <w:r w:rsidR="15CAE0CF">
        <w:rPr>
          <w:lang w:val="en-GB"/>
        </w:rPr>
        <w:t>vidence shows that development cooperation directed towards civil society, freedom of expression and human rights has show</w:t>
      </w:r>
      <w:r w:rsidR="1E040F2D">
        <w:rPr>
          <w:lang w:val="en-GB"/>
        </w:rPr>
        <w:t>n</w:t>
      </w:r>
      <w:r w:rsidR="15CAE0CF">
        <w:rPr>
          <w:lang w:val="en-GB"/>
        </w:rPr>
        <w:t xml:space="preserve"> positive effects </w:t>
      </w:r>
      <w:r w:rsidR="37B14613">
        <w:rPr>
          <w:lang w:val="en-GB"/>
        </w:rPr>
        <w:t>o</w:t>
      </w:r>
      <w:r w:rsidR="23C7BDE3">
        <w:rPr>
          <w:lang w:val="en-GB"/>
        </w:rPr>
        <w:t>n</w:t>
      </w:r>
      <w:r w:rsidR="37B14613">
        <w:rPr>
          <w:lang w:val="en-GB"/>
        </w:rPr>
        <w:t xml:space="preserve"> democratization</w:t>
      </w:r>
      <w:r w:rsidR="000A4D7B">
        <w:rPr>
          <w:rStyle w:val="FootnoteReference"/>
          <w:lang w:val="en-GB"/>
        </w:rPr>
        <w:footnoteReference w:id="4"/>
      </w:r>
      <w:r w:rsidR="15CAE0CF">
        <w:rPr>
          <w:lang w:val="en-GB"/>
        </w:rPr>
        <w:t>.</w:t>
      </w:r>
      <w:r w:rsidR="163D687F">
        <w:rPr>
          <w:lang w:val="en-GB"/>
        </w:rPr>
        <w:t xml:space="preserve"> </w:t>
      </w:r>
      <w:r w:rsidR="00200C05">
        <w:rPr>
          <w:lang w:val="en-GB"/>
        </w:rPr>
        <w:t xml:space="preserve">In accordance with Norad’s Guiding Principles for support to civil society, actors to be supported are those who further the objectives of democratisation, poverty eradication, human rights and sustainable development.  </w:t>
      </w:r>
    </w:p>
    <w:p w14:paraId="7AFD7B39" w14:textId="2D76397A" w:rsidR="0077469A" w:rsidRDefault="3A254CF4" w:rsidP="00DD50BC">
      <w:pPr>
        <w:jc w:val="both"/>
        <w:rPr>
          <w:lang w:val="en-GB"/>
        </w:rPr>
      </w:pPr>
      <w:r>
        <w:rPr>
          <w:lang w:val="en-GB"/>
        </w:rPr>
        <w:t xml:space="preserve">Nonetheless, </w:t>
      </w:r>
      <w:r w:rsidR="36AE99D4">
        <w:rPr>
          <w:lang w:val="en-GB"/>
        </w:rPr>
        <w:t>globally, civil and political rights</w:t>
      </w:r>
      <w:r w:rsidR="36AE99D4" w:rsidRPr="00B9538C">
        <w:rPr>
          <w:lang w:val="en-GB"/>
        </w:rPr>
        <w:t xml:space="preserve"> are under threat</w:t>
      </w:r>
      <w:r w:rsidR="4EE9B5A0" w:rsidRPr="7F184F97">
        <w:rPr>
          <w:lang w:val="en-GB"/>
        </w:rPr>
        <w:t xml:space="preserve">. </w:t>
      </w:r>
      <w:r w:rsidR="1CA460B7" w:rsidRPr="7F184F97">
        <w:rPr>
          <w:lang w:val="en-GB"/>
        </w:rPr>
        <w:t>C</w:t>
      </w:r>
      <w:r w:rsidR="36AE99D4">
        <w:rPr>
          <w:lang w:val="en-GB"/>
        </w:rPr>
        <w:t>ivic freedoms</w:t>
      </w:r>
      <w:r w:rsidR="36AE99D4" w:rsidRPr="00B9538C">
        <w:rPr>
          <w:lang w:val="en-GB"/>
        </w:rPr>
        <w:t xml:space="preserve"> are in decline. </w:t>
      </w:r>
      <w:r w:rsidR="36AE99D4">
        <w:rPr>
          <w:lang w:val="en-GB"/>
        </w:rPr>
        <w:t>T</w:t>
      </w:r>
      <w:r>
        <w:rPr>
          <w:lang w:val="en-GB"/>
        </w:rPr>
        <w:t>he world has</w:t>
      </w:r>
      <w:r w:rsidRPr="00B9538C">
        <w:rPr>
          <w:lang w:val="en-GB"/>
        </w:rPr>
        <w:t xml:space="preserve"> seen increased</w:t>
      </w:r>
      <w:r>
        <w:rPr>
          <w:lang w:val="en-GB"/>
        </w:rPr>
        <w:t xml:space="preserve"> </w:t>
      </w:r>
      <w:proofErr w:type="spellStart"/>
      <w:r>
        <w:rPr>
          <w:lang w:val="en-GB"/>
        </w:rPr>
        <w:t>autocratisation</w:t>
      </w:r>
      <w:proofErr w:type="spellEnd"/>
      <w:r w:rsidR="005D2744" w:rsidRPr="00B9538C">
        <w:rPr>
          <w:rStyle w:val="FootnoteReference"/>
          <w:lang w:val="en-GB"/>
        </w:rPr>
        <w:footnoteReference w:id="5"/>
      </w:r>
      <w:r>
        <w:rPr>
          <w:lang w:val="en-GB"/>
        </w:rPr>
        <w:t xml:space="preserve"> since the early 2000s</w:t>
      </w:r>
      <w:r w:rsidR="688807A3">
        <w:rPr>
          <w:lang w:val="en-GB"/>
        </w:rPr>
        <w:t xml:space="preserve">. </w:t>
      </w:r>
      <w:r w:rsidR="01A5DBA8">
        <w:rPr>
          <w:lang w:val="en-GB"/>
        </w:rPr>
        <w:t>W</w:t>
      </w:r>
      <w:r w:rsidR="36AE99D4">
        <w:rPr>
          <w:lang w:val="en-GB"/>
        </w:rPr>
        <w:t>hile e</w:t>
      </w:r>
      <w:r>
        <w:rPr>
          <w:lang w:val="en-GB"/>
        </w:rPr>
        <w:t xml:space="preserve">stablished democracies are becoming less democratic, authoritarian states </w:t>
      </w:r>
      <w:r w:rsidR="7D866AD1">
        <w:rPr>
          <w:lang w:val="en-GB"/>
        </w:rPr>
        <w:t xml:space="preserve">are </w:t>
      </w:r>
      <w:r>
        <w:rPr>
          <w:lang w:val="en-GB"/>
        </w:rPr>
        <w:t>becom</w:t>
      </w:r>
      <w:r w:rsidR="7D866AD1">
        <w:rPr>
          <w:lang w:val="en-GB"/>
        </w:rPr>
        <w:t>ing</w:t>
      </w:r>
      <w:r>
        <w:rPr>
          <w:lang w:val="en-GB"/>
        </w:rPr>
        <w:t xml:space="preserve"> more authoritarian</w:t>
      </w:r>
      <w:r w:rsidR="7D866AD1">
        <w:rPr>
          <w:lang w:val="en-GB"/>
        </w:rPr>
        <w:t xml:space="preserve">. </w:t>
      </w:r>
      <w:r w:rsidR="73B4077C" w:rsidRPr="7F184F97">
        <w:rPr>
          <w:lang w:val="en-GB"/>
        </w:rPr>
        <w:t xml:space="preserve">During </w:t>
      </w:r>
      <w:r w:rsidR="4F1E446C">
        <w:rPr>
          <w:lang w:val="en-GB"/>
        </w:rPr>
        <w:t>the past five years</w:t>
      </w:r>
      <w:r w:rsidR="73159535">
        <w:rPr>
          <w:lang w:val="en-GB"/>
        </w:rPr>
        <w:t>,</w:t>
      </w:r>
      <w:r w:rsidR="4F1E446C">
        <w:rPr>
          <w:lang w:val="en-GB"/>
        </w:rPr>
        <w:t xml:space="preserve"> </w:t>
      </w:r>
      <w:r w:rsidR="66FA5CE7" w:rsidRPr="7F184F97">
        <w:rPr>
          <w:lang w:val="en-GB"/>
        </w:rPr>
        <w:t>there has been</w:t>
      </w:r>
      <w:r w:rsidR="4F1E446C">
        <w:rPr>
          <w:lang w:val="en-GB"/>
        </w:rPr>
        <w:t xml:space="preserve"> a significant</w:t>
      </w:r>
      <w:r w:rsidR="4F1E446C" w:rsidRPr="7F184F97">
        <w:rPr>
          <w:rFonts w:eastAsiaTheme="minorEastAsia"/>
          <w:color w:val="242424"/>
          <w:lang w:val="en-GB"/>
        </w:rPr>
        <w:t xml:space="preserve"> </w:t>
      </w:r>
      <w:r w:rsidR="66069EC5" w:rsidRPr="7F184F97">
        <w:rPr>
          <w:rFonts w:eastAsiaTheme="minorEastAsia"/>
          <w:color w:val="242424"/>
          <w:lang w:val="en-GB"/>
        </w:rPr>
        <w:t xml:space="preserve">global </w:t>
      </w:r>
      <w:r w:rsidR="4F1E446C" w:rsidRPr="7F184F97">
        <w:rPr>
          <w:rFonts w:eastAsiaTheme="minorEastAsia"/>
          <w:color w:val="242424"/>
          <w:lang w:val="en-GB"/>
        </w:rPr>
        <w:t>increase in restrictions on the freedom of peaceful assembly and other constraints on civil society's operational space</w:t>
      </w:r>
      <w:r w:rsidR="4F1E446C">
        <w:rPr>
          <w:lang w:val="en-GB"/>
        </w:rPr>
        <w:t xml:space="preserve">. This </w:t>
      </w:r>
      <w:r w:rsidR="44AA2E78" w:rsidRPr="7F184F97">
        <w:rPr>
          <w:lang w:val="en-GB"/>
        </w:rPr>
        <w:t xml:space="preserve">is also prevalent in some </w:t>
      </w:r>
      <w:r w:rsidR="44E355D3" w:rsidRPr="7F184F97">
        <w:rPr>
          <w:rFonts w:eastAsiaTheme="minorEastAsia"/>
          <w:color w:val="242424"/>
          <w:lang w:val="en-GB"/>
        </w:rPr>
        <w:t>W</w:t>
      </w:r>
      <w:r w:rsidR="69D93E8E" w:rsidRPr="7F184F97">
        <w:rPr>
          <w:rFonts w:eastAsiaTheme="minorEastAsia"/>
          <w:color w:val="242424"/>
          <w:lang w:val="en-GB"/>
        </w:rPr>
        <w:t>estern demo</w:t>
      </w:r>
      <w:r w:rsidR="3AF17F8C" w:rsidRPr="7F184F97">
        <w:rPr>
          <w:rFonts w:eastAsiaTheme="minorEastAsia"/>
          <w:color w:val="242424"/>
          <w:lang w:val="en-GB"/>
        </w:rPr>
        <w:t>cracies</w:t>
      </w:r>
      <w:r w:rsidR="4F1E446C" w:rsidRPr="7F184F97">
        <w:rPr>
          <w:rFonts w:eastAsiaTheme="minorEastAsia"/>
          <w:color w:val="242424"/>
          <w:lang w:val="en-GB"/>
        </w:rPr>
        <w:t xml:space="preserve">, where civil society </w:t>
      </w:r>
      <w:r w:rsidR="198979D0" w:rsidRPr="7F184F97">
        <w:rPr>
          <w:rFonts w:eastAsiaTheme="minorEastAsia"/>
          <w:color w:val="242424"/>
          <w:lang w:val="en-GB"/>
        </w:rPr>
        <w:t xml:space="preserve">may </w:t>
      </w:r>
      <w:r w:rsidR="4F1E446C" w:rsidRPr="7F184F97">
        <w:rPr>
          <w:rFonts w:eastAsiaTheme="minorEastAsia"/>
          <w:color w:val="242424"/>
          <w:lang w:val="en-GB"/>
        </w:rPr>
        <w:t>face verbal, physical, legal, and financial attacks</w:t>
      </w:r>
      <w:r w:rsidR="005266CD" w:rsidRPr="7F184F97">
        <w:rPr>
          <w:rStyle w:val="FootnoteReference"/>
          <w:rFonts w:eastAsiaTheme="minorEastAsia"/>
          <w:color w:val="242424"/>
          <w:lang w:val="en-GB"/>
        </w:rPr>
        <w:footnoteReference w:id="6"/>
      </w:r>
      <w:r w:rsidR="4F1E446C" w:rsidRPr="7F184F97">
        <w:rPr>
          <w:rFonts w:eastAsiaTheme="minorEastAsia"/>
          <w:color w:val="242424"/>
          <w:lang w:val="en-GB"/>
        </w:rPr>
        <w:t xml:space="preserve">. </w:t>
      </w:r>
      <w:r w:rsidR="00E66E33" w:rsidRPr="7F184F97">
        <w:rPr>
          <w:rFonts w:eastAsiaTheme="minorEastAsia"/>
          <w:color w:val="242424"/>
          <w:lang w:val="en-GB"/>
        </w:rPr>
        <w:t>Particularly</w:t>
      </w:r>
      <w:r w:rsidR="53FE9049" w:rsidRPr="7F184F97">
        <w:rPr>
          <w:rFonts w:eastAsiaTheme="minorEastAsia"/>
          <w:color w:val="242424"/>
          <w:lang w:val="en-GB"/>
        </w:rPr>
        <w:t xml:space="preserve"> authoritarian </w:t>
      </w:r>
      <w:r w:rsidR="00E66E33" w:rsidRPr="7F184F97">
        <w:rPr>
          <w:rFonts w:eastAsiaTheme="minorEastAsia"/>
          <w:color w:val="242424"/>
          <w:lang w:val="en-US"/>
        </w:rPr>
        <w:t>governments</w:t>
      </w:r>
      <w:r w:rsidR="75BC5E29" w:rsidRPr="7F184F97">
        <w:rPr>
          <w:rFonts w:eastAsiaTheme="minorEastAsia"/>
          <w:color w:val="242424"/>
          <w:lang w:val="en-US"/>
        </w:rPr>
        <w:t xml:space="preserve"> impose restrictive laws targeting civil society organizations, such as foreign agent laws, bans on foreign funding, and excessive bureaucratic requirements. </w:t>
      </w:r>
      <w:r w:rsidR="3716C5D5" w:rsidRPr="7F184F97">
        <w:rPr>
          <w:rFonts w:eastAsiaTheme="minorEastAsia"/>
          <w:color w:val="242424"/>
          <w:lang w:val="en-US"/>
        </w:rPr>
        <w:t>Such</w:t>
      </w:r>
      <w:r w:rsidR="75BC5E29" w:rsidRPr="7F184F97">
        <w:rPr>
          <w:rFonts w:eastAsiaTheme="minorEastAsia"/>
          <w:color w:val="242424"/>
          <w:lang w:val="en-US"/>
        </w:rPr>
        <w:t xml:space="preserve"> laws delegitimize and constrain civil society activities</w:t>
      </w:r>
      <w:r w:rsidR="00D533BB" w:rsidRPr="7F184F97">
        <w:rPr>
          <w:rStyle w:val="FootnoteReference"/>
          <w:rFonts w:eastAsiaTheme="minorEastAsia"/>
          <w:color w:val="242424"/>
          <w:lang w:val="en-US"/>
        </w:rPr>
        <w:footnoteReference w:id="7"/>
      </w:r>
      <w:r w:rsidR="3348F562" w:rsidRPr="7F184F97">
        <w:rPr>
          <w:rFonts w:eastAsiaTheme="minorEastAsia"/>
          <w:color w:val="242424"/>
          <w:lang w:val="en-US"/>
        </w:rPr>
        <w:t xml:space="preserve">. </w:t>
      </w:r>
      <w:r w:rsidR="6D298299" w:rsidRPr="7F184F97">
        <w:rPr>
          <w:rFonts w:eastAsiaTheme="minorEastAsia"/>
          <w:color w:val="242424"/>
          <w:lang w:val="en-US"/>
        </w:rPr>
        <w:t>The a</w:t>
      </w:r>
      <w:proofErr w:type="spellStart"/>
      <w:r w:rsidR="4F1E446C">
        <w:rPr>
          <w:lang w:val="en-GB"/>
        </w:rPr>
        <w:t>nti</w:t>
      </w:r>
      <w:proofErr w:type="spellEnd"/>
      <w:r w:rsidR="4F1E446C">
        <w:rPr>
          <w:lang w:val="en-GB"/>
        </w:rPr>
        <w:t xml:space="preserve">-terrorism agenda, including anti-terror financing legislation, </w:t>
      </w:r>
      <w:r w:rsidR="3DEF87FE" w:rsidRPr="7F184F97">
        <w:rPr>
          <w:lang w:val="en-GB"/>
        </w:rPr>
        <w:t xml:space="preserve">is also used </w:t>
      </w:r>
      <w:r w:rsidR="4F1E446C">
        <w:rPr>
          <w:lang w:val="en-GB"/>
        </w:rPr>
        <w:t xml:space="preserve">to exert control over </w:t>
      </w:r>
      <w:r w:rsidR="4F1E446C">
        <w:rPr>
          <w:lang w:val="en-GB"/>
        </w:rPr>
        <w:lastRenderedPageBreak/>
        <w:t>civil society</w:t>
      </w:r>
      <w:r w:rsidR="005266CD">
        <w:rPr>
          <w:rStyle w:val="FootnoteReference"/>
          <w:lang w:val="en-GB"/>
        </w:rPr>
        <w:footnoteReference w:id="8"/>
      </w:r>
      <w:r w:rsidR="4F1E446C">
        <w:rPr>
          <w:lang w:val="en-GB"/>
        </w:rPr>
        <w:t xml:space="preserve">. </w:t>
      </w:r>
      <w:r w:rsidR="4F1E446C" w:rsidRPr="7F184F97">
        <w:rPr>
          <w:rFonts w:eastAsiaTheme="minorEastAsia"/>
          <w:color w:val="242424"/>
          <w:lang w:val="en-GB"/>
        </w:rPr>
        <w:t xml:space="preserve">During the COVID-19 pandemic, civil society </w:t>
      </w:r>
      <w:r w:rsidR="3D931F82" w:rsidRPr="7F184F97">
        <w:rPr>
          <w:rFonts w:eastAsiaTheme="minorEastAsia"/>
          <w:color w:val="242424"/>
          <w:lang w:val="en-GB"/>
        </w:rPr>
        <w:t>further</w:t>
      </w:r>
      <w:r w:rsidR="4F1E446C" w:rsidRPr="7F184F97">
        <w:rPr>
          <w:rFonts w:eastAsiaTheme="minorEastAsia"/>
          <w:color w:val="242424"/>
          <w:lang w:val="en-GB"/>
        </w:rPr>
        <w:t xml:space="preserve"> experienced practical and economic challenges, coinciding with government-imposed restrictions on gatherings and protests. Authorities in several countries enhance</w:t>
      </w:r>
      <w:r w:rsidR="44B00FE6" w:rsidRPr="7F184F97">
        <w:rPr>
          <w:rFonts w:eastAsiaTheme="minorEastAsia"/>
          <w:color w:val="242424"/>
          <w:lang w:val="en-GB"/>
        </w:rPr>
        <w:t>d</w:t>
      </w:r>
      <w:r w:rsidR="4F1E446C" w:rsidRPr="7F184F97">
        <w:rPr>
          <w:rFonts w:eastAsiaTheme="minorEastAsia"/>
          <w:color w:val="242424"/>
          <w:lang w:val="en-GB"/>
        </w:rPr>
        <w:t xml:space="preserve"> control and surveillance of civil society, often retaining such measures post-pandemic</w:t>
      </w:r>
      <w:r w:rsidR="254FE5DD" w:rsidRPr="7F184F97">
        <w:rPr>
          <w:rFonts w:eastAsiaTheme="minorEastAsia"/>
          <w:color w:val="242424"/>
          <w:lang w:val="en-GB"/>
        </w:rPr>
        <w:t xml:space="preserve">. </w:t>
      </w:r>
      <w:r w:rsidR="3ABA6EEB" w:rsidRPr="7F184F97">
        <w:rPr>
          <w:rFonts w:eastAsiaTheme="minorEastAsia"/>
          <w:color w:val="242424"/>
          <w:lang w:val="en-GB"/>
        </w:rPr>
        <w:t xml:space="preserve">Authoritarian regimes use digital technologies for surveillance, </w:t>
      </w:r>
      <w:r w:rsidR="3ABA6EEB" w:rsidRPr="6A798A87">
        <w:rPr>
          <w:lang w:val="en-GB"/>
        </w:rPr>
        <w:t>disinformation and to create polarization.</w:t>
      </w:r>
      <w:r w:rsidR="3ABA6EEB">
        <w:rPr>
          <w:lang w:val="en-GB"/>
        </w:rPr>
        <w:t xml:space="preserve"> </w:t>
      </w:r>
      <w:r w:rsidR="689C19DF" w:rsidRPr="7F184F97">
        <w:rPr>
          <w:lang w:val="en-GB"/>
        </w:rPr>
        <w:t>Digital</w:t>
      </w:r>
      <w:r w:rsidR="3ABA6EEB">
        <w:rPr>
          <w:lang w:val="en-GB"/>
        </w:rPr>
        <w:t xml:space="preserve"> tools are also used by civil society actors, however, to access and spread information and mobilise communities. </w:t>
      </w:r>
      <w:r w:rsidR="36AE99D4" w:rsidRPr="7F184F97">
        <w:rPr>
          <w:rFonts w:eastAsiaTheme="minorEastAsia"/>
          <w:color w:val="242424"/>
          <w:lang w:val="en-GB"/>
        </w:rPr>
        <w:t xml:space="preserve">Positively, </w:t>
      </w:r>
      <w:r w:rsidR="36AE99D4" w:rsidRPr="0AD0E7E6">
        <w:rPr>
          <w:lang w:val="en-GB"/>
        </w:rPr>
        <w:t>the last decade has</w:t>
      </w:r>
      <w:r w:rsidR="36AE99D4">
        <w:rPr>
          <w:lang w:val="en-GB"/>
        </w:rPr>
        <w:t xml:space="preserve"> also </w:t>
      </w:r>
      <w:r w:rsidR="36AE99D4" w:rsidRPr="0AD0E7E6">
        <w:rPr>
          <w:lang w:val="en-GB"/>
        </w:rPr>
        <w:t>seen an increase in pro-democratic civic action</w:t>
      </w:r>
      <w:r w:rsidR="005B3BB7" w:rsidRPr="00B9538C">
        <w:rPr>
          <w:rStyle w:val="FootnoteReference"/>
          <w:lang w:val="en-GB"/>
        </w:rPr>
        <w:footnoteReference w:id="9"/>
      </w:r>
      <w:r w:rsidR="36AE99D4" w:rsidRPr="6A798A87">
        <w:rPr>
          <w:lang w:val="en-GB"/>
        </w:rPr>
        <w:t>, often constituted by informal civil society like social movements</w:t>
      </w:r>
      <w:r w:rsidR="3ABA6EEB">
        <w:rPr>
          <w:lang w:val="en-GB"/>
        </w:rPr>
        <w:t>.</w:t>
      </w:r>
      <w:r w:rsidR="231E66E4">
        <w:rPr>
          <w:lang w:val="en-GB"/>
        </w:rPr>
        <w:t xml:space="preserve"> </w:t>
      </w:r>
    </w:p>
    <w:p w14:paraId="1CCC82FB" w14:textId="0E21538C" w:rsidR="0077469A" w:rsidRDefault="0077469A" w:rsidP="00DD50BC">
      <w:pPr>
        <w:jc w:val="both"/>
        <w:rPr>
          <w:b/>
          <w:bCs/>
          <w:lang w:val="en-GB"/>
        </w:rPr>
      </w:pPr>
      <w:r>
        <w:rPr>
          <w:b/>
          <w:bCs/>
          <w:lang w:val="en-GB"/>
        </w:rPr>
        <w:t>What will Norad contribute to?</w:t>
      </w:r>
    </w:p>
    <w:p w14:paraId="539CB4E6" w14:textId="38DA8A0C" w:rsidR="00417B83" w:rsidRDefault="46EAA8DE" w:rsidP="00417B83">
      <w:pPr>
        <w:jc w:val="both"/>
        <w:rPr>
          <w:lang w:val="en-GB"/>
        </w:rPr>
      </w:pPr>
      <w:r w:rsidRPr="7F184F97">
        <w:rPr>
          <w:lang w:val="en-GB"/>
        </w:rPr>
        <w:t>The portfolio will address the problem of shrinking civic space. The overarching objective</w:t>
      </w:r>
      <w:r w:rsidR="4E6DD50F" w:rsidRPr="7F184F97">
        <w:rPr>
          <w:lang w:val="en-GB"/>
        </w:rPr>
        <w:t>,</w:t>
      </w:r>
      <w:r w:rsidRPr="7F184F97">
        <w:rPr>
          <w:lang w:val="en-GB"/>
        </w:rPr>
        <w:t xml:space="preserve"> on an impact level</w:t>
      </w:r>
      <w:r w:rsidR="4E6DD50F" w:rsidRPr="7F184F97">
        <w:rPr>
          <w:lang w:val="en-GB"/>
        </w:rPr>
        <w:t>,</w:t>
      </w:r>
      <w:r w:rsidRPr="7F184F97">
        <w:rPr>
          <w:lang w:val="en-GB"/>
        </w:rPr>
        <w:t xml:space="preserve"> is to enhance </w:t>
      </w:r>
      <w:r w:rsidR="55F05E55" w:rsidRPr="7F184F97">
        <w:rPr>
          <w:lang w:val="en-GB"/>
        </w:rPr>
        <w:t xml:space="preserve">the ability of </w:t>
      </w:r>
      <w:r w:rsidRPr="7F184F97">
        <w:rPr>
          <w:lang w:val="en-GB"/>
        </w:rPr>
        <w:t>civil society organisations</w:t>
      </w:r>
      <w:r w:rsidR="28E4D517" w:rsidRPr="7F184F97">
        <w:rPr>
          <w:lang w:val="en-GB"/>
        </w:rPr>
        <w:t xml:space="preserve"> </w:t>
      </w:r>
      <w:r w:rsidRPr="7F184F97">
        <w:rPr>
          <w:lang w:val="en-GB"/>
        </w:rPr>
        <w:t xml:space="preserve">to hold governments accountable so that civic space is respected and protected. Within the framework of the portfolio, Norad will offer </w:t>
      </w:r>
      <w:r w:rsidR="6ED4F046" w:rsidRPr="7F184F97">
        <w:rPr>
          <w:lang w:val="en-GB"/>
        </w:rPr>
        <w:t>partners</w:t>
      </w:r>
      <w:r w:rsidRPr="7F184F97">
        <w:rPr>
          <w:lang w:val="en-GB"/>
        </w:rPr>
        <w:t xml:space="preserve"> the flexibility to adapt to changing contexts and needs, enhancing their readiness to act on windows of opportunities. Additionally, many (all?) of Norad’s other portfolios support civil society actors</w:t>
      </w:r>
      <w:r w:rsidR="619F6CCE" w:rsidRPr="7F184F97">
        <w:rPr>
          <w:lang w:val="en-GB"/>
        </w:rPr>
        <w:t xml:space="preserve">. The </w:t>
      </w:r>
      <w:r w:rsidRPr="7F184F97">
        <w:rPr>
          <w:lang w:val="en-GB"/>
        </w:rPr>
        <w:t xml:space="preserve">synergies between portfolios </w:t>
      </w:r>
      <w:r w:rsidR="343FD474" w:rsidRPr="7F184F97">
        <w:rPr>
          <w:lang w:val="en-GB"/>
        </w:rPr>
        <w:t>will help</w:t>
      </w:r>
      <w:r w:rsidRPr="7F184F97">
        <w:rPr>
          <w:lang w:val="en-GB"/>
        </w:rPr>
        <w:t xml:space="preserve"> underscor</w:t>
      </w:r>
      <w:r w:rsidR="634DD55F" w:rsidRPr="7F184F97">
        <w:rPr>
          <w:lang w:val="en-GB"/>
        </w:rPr>
        <w:t>e</w:t>
      </w:r>
      <w:r w:rsidRPr="7F184F97">
        <w:rPr>
          <w:lang w:val="en-GB"/>
        </w:rPr>
        <w:t xml:space="preserve"> and en</w:t>
      </w:r>
      <w:r w:rsidR="3CDDDE4A" w:rsidRPr="7F184F97">
        <w:rPr>
          <w:lang w:val="en-GB"/>
        </w:rPr>
        <w:t>rich</w:t>
      </w:r>
      <w:r w:rsidRPr="7F184F97">
        <w:rPr>
          <w:lang w:val="en-GB"/>
        </w:rPr>
        <w:t xml:space="preserve"> the work of the civic space portfolio.</w:t>
      </w:r>
    </w:p>
    <w:p w14:paraId="3DD4BC36" w14:textId="600437E3" w:rsidR="00417B83" w:rsidRDefault="46EAA8DE" w:rsidP="00417B83">
      <w:pPr>
        <w:jc w:val="both"/>
        <w:rPr>
          <w:lang w:val="en-GB"/>
        </w:rPr>
      </w:pPr>
      <w:r w:rsidRPr="7F184F97">
        <w:rPr>
          <w:lang w:val="en-US"/>
        </w:rPr>
        <w:t xml:space="preserve">The medium-term objective is that civil society can influence national laws and policies as well as international normative processes on civic space. </w:t>
      </w:r>
      <w:r w:rsidR="4B3FB7B3" w:rsidRPr="7F184F97">
        <w:rPr>
          <w:lang w:val="en-US"/>
        </w:rPr>
        <w:t xml:space="preserve">Many </w:t>
      </w:r>
      <w:r w:rsidRPr="7F184F97">
        <w:rPr>
          <w:lang w:val="en-US"/>
        </w:rPr>
        <w:t>states have legal and policy framework</w:t>
      </w:r>
      <w:r w:rsidR="08C7263D" w:rsidRPr="7F184F97">
        <w:rPr>
          <w:lang w:val="en-US"/>
        </w:rPr>
        <w:t>s</w:t>
      </w:r>
      <w:r w:rsidRPr="7F184F97">
        <w:rPr>
          <w:lang w:val="en-US"/>
        </w:rPr>
        <w:t xml:space="preserve"> in place that in theory protects civic space</w:t>
      </w:r>
      <w:r w:rsidR="3B0BE4A7" w:rsidRPr="7F184F97">
        <w:rPr>
          <w:lang w:val="en-US"/>
        </w:rPr>
        <w:t>,</w:t>
      </w:r>
      <w:r w:rsidRPr="7F184F97">
        <w:rPr>
          <w:lang w:val="en-US"/>
        </w:rPr>
        <w:t xml:space="preserve"> but lack necessary implementation</w:t>
      </w:r>
      <w:r w:rsidR="5241DEB5" w:rsidRPr="7F184F97">
        <w:rPr>
          <w:lang w:val="en-US"/>
        </w:rPr>
        <w:t>.</w:t>
      </w:r>
      <w:r w:rsidRPr="7F184F97">
        <w:rPr>
          <w:lang w:val="en-US"/>
        </w:rPr>
        <w:t xml:space="preserve">, </w:t>
      </w:r>
      <w:r w:rsidR="2FE8B008" w:rsidRPr="7F184F97">
        <w:rPr>
          <w:lang w:val="en-US"/>
        </w:rPr>
        <w:t xml:space="preserve">Hence, </w:t>
      </w:r>
      <w:r w:rsidRPr="7F184F97">
        <w:rPr>
          <w:lang w:val="en-US"/>
        </w:rPr>
        <w:t>a longer-term outcome is that laws, policies, and implementation at the national level protect civic space.</w:t>
      </w:r>
      <w:r w:rsidRPr="7F184F97">
        <w:rPr>
          <w:lang w:val="en-GB"/>
        </w:rPr>
        <w:t xml:space="preserve"> </w:t>
      </w:r>
    </w:p>
    <w:p w14:paraId="666E2482" w14:textId="77777777" w:rsidR="00DA58BF" w:rsidRPr="00970437" w:rsidRDefault="00DA58BF" w:rsidP="00DA58BF">
      <w:pPr>
        <w:jc w:val="both"/>
        <w:rPr>
          <w:i/>
          <w:iCs/>
          <w:lang w:val="en-GB"/>
        </w:rPr>
      </w:pPr>
      <w:r>
        <w:rPr>
          <w:i/>
          <w:iCs/>
          <w:lang w:val="en-GB"/>
        </w:rPr>
        <w:t>How?</w:t>
      </w:r>
    </w:p>
    <w:p w14:paraId="559C3E3F" w14:textId="0A5973B9" w:rsidR="00C277AD" w:rsidRPr="00200C05" w:rsidRDefault="4F17D753" w:rsidP="00200C05">
      <w:pPr>
        <w:jc w:val="both"/>
        <w:rPr>
          <w:lang w:val="en-GB"/>
        </w:rPr>
      </w:pPr>
      <w:r>
        <w:rPr>
          <w:lang w:val="en-GB"/>
        </w:rPr>
        <w:t>Norad’s efforts will focus on funding, information dissemination and dialogue</w:t>
      </w:r>
      <w:r w:rsidR="0D89CDEC">
        <w:rPr>
          <w:lang w:val="en-GB"/>
        </w:rPr>
        <w:t xml:space="preserve"> through three different change pathways. </w:t>
      </w:r>
      <w:r>
        <w:rPr>
          <w:lang w:val="en-GB"/>
        </w:rPr>
        <w:t xml:space="preserve">The portfolio will aim at interventions </w:t>
      </w:r>
      <w:r w:rsidRPr="205BC69A">
        <w:rPr>
          <w:lang w:val="en-GB"/>
        </w:rPr>
        <w:t xml:space="preserve">both at </w:t>
      </w:r>
      <w:r w:rsidRPr="00602675">
        <w:rPr>
          <w:lang w:val="en-GB"/>
        </w:rPr>
        <w:t xml:space="preserve">the global level and at country level </w:t>
      </w:r>
      <w:r>
        <w:rPr>
          <w:lang w:val="en-GB"/>
        </w:rPr>
        <w:t>primarily towards countries relevant to Norwegian development cooperation</w:t>
      </w:r>
      <w:r w:rsidR="7C550803">
        <w:rPr>
          <w:lang w:val="en-GB"/>
        </w:rPr>
        <w:t xml:space="preserve">. </w:t>
      </w:r>
      <w:r>
        <w:rPr>
          <w:lang w:val="en-GB"/>
        </w:rPr>
        <w:t xml:space="preserve"> </w:t>
      </w:r>
    </w:p>
    <w:p w14:paraId="5642F8FD" w14:textId="77777777" w:rsidR="0087592D" w:rsidRDefault="00306C65" w:rsidP="00AE52DD">
      <w:pPr>
        <w:spacing w:after="0"/>
        <w:jc w:val="both"/>
        <w:rPr>
          <w:i/>
          <w:iCs/>
          <w:lang w:val="en-GB"/>
        </w:rPr>
      </w:pPr>
      <w:r>
        <w:rPr>
          <w:i/>
          <w:iCs/>
          <w:lang w:val="en-GB"/>
        </w:rPr>
        <w:t>The three c</w:t>
      </w:r>
      <w:r w:rsidR="00C277AD" w:rsidRPr="00FE2699">
        <w:rPr>
          <w:i/>
          <w:iCs/>
          <w:lang w:val="en-GB"/>
        </w:rPr>
        <w:t xml:space="preserve">hange pathways </w:t>
      </w:r>
      <w:r w:rsidR="00E66ED5">
        <w:rPr>
          <w:i/>
          <w:iCs/>
          <w:lang w:val="en-GB"/>
        </w:rPr>
        <w:t xml:space="preserve">leading </w:t>
      </w:r>
      <w:r w:rsidR="00A37D38">
        <w:rPr>
          <w:i/>
          <w:iCs/>
          <w:lang w:val="en-GB"/>
        </w:rPr>
        <w:t>towards the outcomes</w:t>
      </w:r>
      <w:r>
        <w:rPr>
          <w:i/>
          <w:iCs/>
          <w:lang w:val="en-GB"/>
        </w:rPr>
        <w:t>:</w:t>
      </w:r>
    </w:p>
    <w:p w14:paraId="0F5CFC46" w14:textId="77777777" w:rsidR="003E7499" w:rsidRDefault="003E7499" w:rsidP="00AE52DD">
      <w:pPr>
        <w:spacing w:after="0"/>
        <w:jc w:val="both"/>
        <w:rPr>
          <w:i/>
          <w:iCs/>
          <w:lang w:val="en-GB"/>
        </w:rPr>
      </w:pPr>
    </w:p>
    <w:p w14:paraId="17A438A1" w14:textId="02C79FAE" w:rsidR="00394CD5" w:rsidRPr="00D63881" w:rsidRDefault="48C3F22F" w:rsidP="00D63881">
      <w:pPr>
        <w:pStyle w:val="ListParagraph"/>
        <w:numPr>
          <w:ilvl w:val="0"/>
          <w:numId w:val="18"/>
        </w:numPr>
        <w:spacing w:after="0"/>
        <w:jc w:val="both"/>
        <w:rPr>
          <w:lang w:val="en-US"/>
        </w:rPr>
      </w:pPr>
      <w:r w:rsidRPr="00D63881">
        <w:rPr>
          <w:b/>
          <w:bCs/>
          <w:lang w:val="en-GB"/>
        </w:rPr>
        <w:t>Coordination, collaboration, and coalitions for civic influence:</w:t>
      </w:r>
      <w:r w:rsidRPr="00D63881">
        <w:rPr>
          <w:lang w:val="en-GB"/>
        </w:rPr>
        <w:t xml:space="preserve"> </w:t>
      </w:r>
      <w:r w:rsidR="41EFDF77" w:rsidRPr="00D63881">
        <w:rPr>
          <w:lang w:val="en-GB"/>
        </w:rPr>
        <w:t>By enhancing cooperation, coalition</w:t>
      </w:r>
      <w:r w:rsidR="2481949E" w:rsidRPr="00D63881">
        <w:rPr>
          <w:lang w:val="en-GB"/>
        </w:rPr>
        <w:t>-</w:t>
      </w:r>
      <w:r w:rsidR="41EFDF77" w:rsidRPr="00D63881">
        <w:rPr>
          <w:lang w:val="en-GB"/>
        </w:rPr>
        <w:t>building and exchange, civil society will be better placed to influence political processes to protect and enhance civic space.</w:t>
      </w:r>
      <w:r w:rsidRPr="00D63881">
        <w:rPr>
          <w:lang w:val="en-GB"/>
        </w:rPr>
        <w:t xml:space="preserve"> </w:t>
      </w:r>
      <w:r w:rsidR="1192C0EB" w:rsidRPr="00D63881">
        <w:rPr>
          <w:lang w:val="en-GB"/>
        </w:rPr>
        <w:t>Norad will support coalition</w:t>
      </w:r>
      <w:r w:rsidR="2940AB1D" w:rsidRPr="7F184F97">
        <w:rPr>
          <w:lang w:val="en-GB"/>
        </w:rPr>
        <w:t>-</w:t>
      </w:r>
      <w:r w:rsidR="1192C0EB" w:rsidRPr="00D63881">
        <w:rPr>
          <w:lang w:val="en-GB"/>
        </w:rPr>
        <w:t>building within civil society</w:t>
      </w:r>
      <w:r w:rsidR="0070217D">
        <w:rPr>
          <w:rStyle w:val="FootnoteReference"/>
          <w:lang w:val="en-GB"/>
        </w:rPr>
        <w:footnoteReference w:id="10"/>
      </w:r>
      <w:r w:rsidR="1192C0EB" w:rsidRPr="00D63881">
        <w:rPr>
          <w:lang w:val="en-GB"/>
        </w:rPr>
        <w:t xml:space="preserve"> and </w:t>
      </w:r>
      <w:r w:rsidRPr="00D63881">
        <w:rPr>
          <w:lang w:val="en-GB"/>
        </w:rPr>
        <w:t>with allies like independent media and academic institutions nationally and internationally. In some contexts, the judicial sector can be an important ally. The aim is to deepen, broaden and sustain coordination, collaboration, and coalitions to protect and enhance civic space.</w:t>
      </w:r>
      <w:r w:rsidR="00100E80">
        <w:rPr>
          <w:rStyle w:val="FootnoteReference"/>
          <w:lang w:val="en-GB"/>
        </w:rPr>
        <w:footnoteReference w:id="11"/>
      </w:r>
    </w:p>
    <w:p w14:paraId="04DAC03A" w14:textId="66AC5A0C" w:rsidR="007768CD" w:rsidRDefault="48C3F22F" w:rsidP="00D63881">
      <w:pPr>
        <w:pStyle w:val="ListParagraph"/>
        <w:numPr>
          <w:ilvl w:val="0"/>
          <w:numId w:val="18"/>
        </w:numPr>
        <w:spacing w:after="0"/>
        <w:jc w:val="both"/>
        <w:rPr>
          <w:lang w:val="en-GB"/>
        </w:rPr>
      </w:pPr>
      <w:r w:rsidRPr="00D63881">
        <w:rPr>
          <w:b/>
          <w:bCs/>
          <w:lang w:val="en-GB"/>
        </w:rPr>
        <w:lastRenderedPageBreak/>
        <w:t xml:space="preserve">Digital </w:t>
      </w:r>
      <w:r w:rsidR="089E8EAE" w:rsidRPr="00D63881">
        <w:rPr>
          <w:b/>
          <w:bCs/>
          <w:lang w:val="en-GB"/>
        </w:rPr>
        <w:t>civic space:</w:t>
      </w:r>
      <w:r w:rsidR="171946D8" w:rsidRPr="00D63881">
        <w:rPr>
          <w:lang w:val="en-GB"/>
        </w:rPr>
        <w:t xml:space="preserve"> </w:t>
      </w:r>
      <w:r w:rsidR="1EF96A38" w:rsidRPr="00D63881">
        <w:rPr>
          <w:lang w:val="en-GB"/>
        </w:rPr>
        <w:t>By e</w:t>
      </w:r>
      <w:r w:rsidR="171946D8" w:rsidRPr="00D63881">
        <w:rPr>
          <w:lang w:val="en-GB"/>
        </w:rPr>
        <w:t>nsur</w:t>
      </w:r>
      <w:r w:rsidR="76022954" w:rsidRPr="00D63881">
        <w:rPr>
          <w:lang w:val="en-GB"/>
        </w:rPr>
        <w:t>ing</w:t>
      </w:r>
      <w:r w:rsidR="171946D8" w:rsidRPr="00D63881">
        <w:rPr>
          <w:lang w:val="en-GB"/>
        </w:rPr>
        <w:t xml:space="preserve"> c</w:t>
      </w:r>
      <w:r w:rsidRPr="00D63881">
        <w:rPr>
          <w:lang w:val="en-GB"/>
        </w:rPr>
        <w:t>ivil society has the ability and support mechanisms both to protect themselves and each other in the digital space</w:t>
      </w:r>
      <w:r w:rsidR="00C277AD">
        <w:rPr>
          <w:rStyle w:val="FootnoteReference"/>
          <w:lang w:val="en-GB"/>
        </w:rPr>
        <w:footnoteReference w:id="12"/>
      </w:r>
      <w:r w:rsidRPr="00D63881">
        <w:rPr>
          <w:lang w:val="en-GB"/>
        </w:rPr>
        <w:t xml:space="preserve"> </w:t>
      </w:r>
      <w:r w:rsidR="21E73CF8" w:rsidRPr="00D63881">
        <w:rPr>
          <w:lang w:val="en-GB"/>
        </w:rPr>
        <w:t xml:space="preserve">, they will be able </w:t>
      </w:r>
      <w:r w:rsidRPr="00D63881">
        <w:rPr>
          <w:lang w:val="en-GB"/>
        </w:rPr>
        <w:t>to use digital tools effectively to spread information, reshap</w:t>
      </w:r>
      <w:r w:rsidR="548D6472" w:rsidRPr="00D63881">
        <w:rPr>
          <w:lang w:val="en-GB"/>
        </w:rPr>
        <w:t>e</w:t>
      </w:r>
      <w:r w:rsidRPr="00D63881">
        <w:rPr>
          <w:lang w:val="en-GB"/>
        </w:rPr>
        <w:t xml:space="preserve"> narratives and mobilise to protect civic space. </w:t>
      </w:r>
      <w:r w:rsidR="65538A0E" w:rsidRPr="00D63881">
        <w:rPr>
          <w:lang w:val="en-GB"/>
        </w:rPr>
        <w:t>Norad will support the development of digital protection mechanisms and capacity building</w:t>
      </w:r>
      <w:r w:rsidR="4D17D73B" w:rsidRPr="00D63881">
        <w:rPr>
          <w:lang w:val="en-GB"/>
        </w:rPr>
        <w:t>.</w:t>
      </w:r>
    </w:p>
    <w:p w14:paraId="4A455246" w14:textId="48CD62F0" w:rsidR="00C277AD" w:rsidRPr="00D63881" w:rsidRDefault="48C3F22F" w:rsidP="00D63881">
      <w:pPr>
        <w:pStyle w:val="ListParagraph"/>
        <w:numPr>
          <w:ilvl w:val="0"/>
          <w:numId w:val="18"/>
        </w:numPr>
        <w:spacing w:after="0"/>
        <w:jc w:val="both"/>
        <w:rPr>
          <w:lang w:val="en-GB"/>
        </w:rPr>
      </w:pPr>
      <w:r w:rsidRPr="7F184F97">
        <w:rPr>
          <w:b/>
          <w:bCs/>
          <w:lang w:val="en-GB"/>
        </w:rPr>
        <w:t>Knowledge production, learning</w:t>
      </w:r>
      <w:r w:rsidR="7A9E7BE2" w:rsidRPr="7F184F97">
        <w:rPr>
          <w:b/>
          <w:bCs/>
          <w:lang w:val="en-GB"/>
        </w:rPr>
        <w:t xml:space="preserve"> and sharing</w:t>
      </w:r>
      <w:r w:rsidRPr="7F184F97">
        <w:rPr>
          <w:b/>
          <w:bCs/>
          <w:lang w:val="en-GB"/>
        </w:rPr>
        <w:t>:</w:t>
      </w:r>
      <w:r w:rsidRPr="7F184F97">
        <w:rPr>
          <w:lang w:val="en-GB"/>
        </w:rPr>
        <w:t xml:space="preserve"> </w:t>
      </w:r>
      <w:r w:rsidR="7A9E7BE2" w:rsidRPr="7F184F97">
        <w:rPr>
          <w:lang w:val="en-GB"/>
        </w:rPr>
        <w:t>By enhancing knowledge</w:t>
      </w:r>
      <w:r w:rsidR="2D21AC19" w:rsidRPr="7F184F97">
        <w:rPr>
          <w:lang w:val="en-GB"/>
        </w:rPr>
        <w:t xml:space="preserve"> </w:t>
      </w:r>
      <w:r w:rsidR="2680D863" w:rsidRPr="7F184F97">
        <w:rPr>
          <w:lang w:val="en-GB"/>
        </w:rPr>
        <w:t>production</w:t>
      </w:r>
      <w:r w:rsidR="21C29E90" w:rsidRPr="7F184F97">
        <w:rPr>
          <w:lang w:val="en-GB"/>
        </w:rPr>
        <w:t>,</w:t>
      </w:r>
      <w:r w:rsidR="7A9E7BE2" w:rsidRPr="7F184F97">
        <w:rPr>
          <w:lang w:val="en-GB"/>
        </w:rPr>
        <w:t xml:space="preserve"> learning, cooperation and exchange, donors can ensure more targeted and effective support to protect and enhance civic space and strengthen civil society in ODA countries.</w:t>
      </w:r>
      <w:r w:rsidRPr="7F184F97">
        <w:rPr>
          <w:lang w:val="en-GB"/>
        </w:rPr>
        <w:t xml:space="preserve"> </w:t>
      </w:r>
      <w:r w:rsidR="21AC2F1E" w:rsidRPr="7F184F97">
        <w:rPr>
          <w:lang w:val="en-GB"/>
        </w:rPr>
        <w:t xml:space="preserve">Norad will </w:t>
      </w:r>
      <w:r w:rsidR="73D7E7F1" w:rsidRPr="7F184F97">
        <w:rPr>
          <w:lang w:val="en-GB"/>
        </w:rPr>
        <w:t xml:space="preserve">support </w:t>
      </w:r>
      <w:r w:rsidR="11099A04" w:rsidRPr="7F184F97">
        <w:rPr>
          <w:lang w:val="en-GB"/>
        </w:rPr>
        <w:t>c</w:t>
      </w:r>
      <w:r w:rsidRPr="7F184F97">
        <w:rPr>
          <w:lang w:val="en-GB"/>
        </w:rPr>
        <w:t>ivil society i</w:t>
      </w:r>
      <w:r w:rsidR="52CABBED" w:rsidRPr="7F184F97">
        <w:rPr>
          <w:lang w:val="en-GB"/>
        </w:rPr>
        <w:t>n</w:t>
      </w:r>
      <w:r w:rsidRPr="7F184F97">
        <w:rPr>
          <w:lang w:val="en-GB"/>
        </w:rPr>
        <w:t xml:space="preserve"> learning from each other’s experiences nationally and internationally</w:t>
      </w:r>
      <w:r w:rsidR="032FF8BA" w:rsidRPr="7F184F97">
        <w:rPr>
          <w:lang w:val="en-GB"/>
        </w:rPr>
        <w:t>, so that</w:t>
      </w:r>
      <w:r w:rsidR="00200C05">
        <w:rPr>
          <w:lang w:val="en-GB"/>
        </w:rPr>
        <w:t xml:space="preserve"> </w:t>
      </w:r>
      <w:r w:rsidRPr="7F184F97">
        <w:rPr>
          <w:lang w:val="en-GB"/>
        </w:rPr>
        <w:t xml:space="preserve">strategies and tactics </w:t>
      </w:r>
      <w:r w:rsidR="0BD91B5E" w:rsidRPr="7F184F97">
        <w:rPr>
          <w:lang w:val="en-GB"/>
        </w:rPr>
        <w:t xml:space="preserve">are based </w:t>
      </w:r>
      <w:r w:rsidRPr="7F184F97">
        <w:rPr>
          <w:lang w:val="en-GB"/>
        </w:rPr>
        <w:t xml:space="preserve">on knowledge of what works best to protect civic space in different contexts. </w:t>
      </w:r>
    </w:p>
    <w:p w14:paraId="1C9147E8" w14:textId="75E23879" w:rsidR="00DA58BF" w:rsidRPr="00DA58BF" w:rsidRDefault="00DA58BF" w:rsidP="0077469A">
      <w:pPr>
        <w:jc w:val="both"/>
        <w:rPr>
          <w:i/>
          <w:iCs/>
          <w:lang w:val="en-GB"/>
        </w:rPr>
      </w:pPr>
      <w:r>
        <w:rPr>
          <w:i/>
          <w:iCs/>
          <w:lang w:val="en-GB"/>
        </w:rPr>
        <w:t>Why?</w:t>
      </w:r>
    </w:p>
    <w:p w14:paraId="05F381B3" w14:textId="2654D7A7" w:rsidR="000A40B4" w:rsidRPr="00970437" w:rsidRDefault="6BCCF710" w:rsidP="000A40B4">
      <w:pPr>
        <w:jc w:val="both"/>
        <w:rPr>
          <w:lang w:val="en-GB"/>
        </w:rPr>
      </w:pPr>
      <w:r>
        <w:rPr>
          <w:lang w:val="en-GB"/>
        </w:rPr>
        <w:t xml:space="preserve">The global non-profit </w:t>
      </w:r>
      <w:r w:rsidRPr="00B9538C">
        <w:rPr>
          <w:lang w:val="en-GB"/>
        </w:rPr>
        <w:t>Civicus</w:t>
      </w:r>
      <w:r w:rsidR="000A40B4">
        <w:rPr>
          <w:rStyle w:val="FootnoteReference"/>
          <w:lang w:val="en-GB"/>
        </w:rPr>
        <w:footnoteReference w:id="13"/>
      </w:r>
      <w:r w:rsidRPr="00B9538C">
        <w:rPr>
          <w:lang w:val="en-GB"/>
        </w:rPr>
        <w:t xml:space="preserve"> </w:t>
      </w:r>
      <w:r>
        <w:rPr>
          <w:lang w:val="en-GB"/>
        </w:rPr>
        <w:t>classifies c</w:t>
      </w:r>
      <w:r w:rsidRPr="00B9538C">
        <w:rPr>
          <w:lang w:val="en-GB"/>
        </w:rPr>
        <w:t xml:space="preserve">ivic space </w:t>
      </w:r>
      <w:r>
        <w:rPr>
          <w:lang w:val="en-GB"/>
        </w:rPr>
        <w:t>as</w:t>
      </w:r>
      <w:r w:rsidRPr="00B9538C">
        <w:rPr>
          <w:lang w:val="en-GB"/>
        </w:rPr>
        <w:t xml:space="preserve"> </w:t>
      </w:r>
      <w:r>
        <w:rPr>
          <w:lang w:val="en-GB"/>
        </w:rPr>
        <w:t>either open, narrowed, obstructed,</w:t>
      </w:r>
      <w:r w:rsidRPr="00B9538C">
        <w:rPr>
          <w:lang w:val="en-GB"/>
        </w:rPr>
        <w:t xml:space="preserve"> </w:t>
      </w:r>
      <w:r>
        <w:rPr>
          <w:lang w:val="en-GB"/>
        </w:rPr>
        <w:t xml:space="preserve">repressed or </w:t>
      </w:r>
      <w:r w:rsidRPr="00B9538C">
        <w:rPr>
          <w:lang w:val="en-GB"/>
        </w:rPr>
        <w:t>closed</w:t>
      </w:r>
      <w:r w:rsidR="000A40B4" w:rsidRPr="7F184F97">
        <w:rPr>
          <w:rStyle w:val="FootnoteReference"/>
          <w:lang w:val="en-GB"/>
        </w:rPr>
        <w:footnoteReference w:id="14"/>
      </w:r>
      <w:r w:rsidR="79481293" w:rsidRPr="7F184F97">
        <w:rPr>
          <w:lang w:val="en-GB"/>
        </w:rPr>
        <w:t xml:space="preserve">. </w:t>
      </w:r>
      <w:r>
        <w:rPr>
          <w:lang w:val="en-GB"/>
        </w:rPr>
        <w:t xml:space="preserve">Norad will prioritise </w:t>
      </w:r>
      <w:r w:rsidR="603CB396">
        <w:rPr>
          <w:lang w:val="en-GB"/>
        </w:rPr>
        <w:t xml:space="preserve">interventions in </w:t>
      </w:r>
      <w:r>
        <w:rPr>
          <w:lang w:val="en-GB"/>
        </w:rPr>
        <w:t>narrowed, obstructed or repressed countries</w:t>
      </w:r>
      <w:r w:rsidR="19893A6F">
        <w:rPr>
          <w:lang w:val="en-GB"/>
        </w:rPr>
        <w:t>,</w:t>
      </w:r>
      <w:r>
        <w:rPr>
          <w:lang w:val="en-GB"/>
        </w:rPr>
        <w:t xml:space="preserve"> based on an assumption that to be effective, civil society organisations depend on a certain degree of room to manoeuvre to further enhance civic space. Although relevant, support to civil society organisations in countries categorised as closed is expected to be less effective in reaching the objectives of this portfolio.</w:t>
      </w:r>
    </w:p>
    <w:p w14:paraId="69C35950" w14:textId="15A5D2BD" w:rsidR="000A40B4" w:rsidRPr="00B9538C" w:rsidRDefault="6BCCF710" w:rsidP="000A40B4">
      <w:pPr>
        <w:spacing w:after="0"/>
        <w:jc w:val="both"/>
        <w:rPr>
          <w:lang w:val="en-GB"/>
        </w:rPr>
      </w:pPr>
      <w:r w:rsidRPr="66F550AC">
        <w:rPr>
          <w:b/>
          <w:bCs/>
          <w:lang w:val="en-GB"/>
        </w:rPr>
        <w:t>The</w:t>
      </w:r>
      <w:r w:rsidR="1EBBBE5B" w:rsidRPr="66F550AC">
        <w:rPr>
          <w:b/>
          <w:bCs/>
          <w:lang w:val="en-GB"/>
        </w:rPr>
        <w:t xml:space="preserve"> assumption is that </w:t>
      </w:r>
      <w:r w:rsidR="37124924" w:rsidRPr="66F550AC">
        <w:rPr>
          <w:b/>
          <w:bCs/>
          <w:lang w:val="en-GB"/>
        </w:rPr>
        <w:t xml:space="preserve">certain </w:t>
      </w:r>
      <w:r w:rsidRPr="66F550AC">
        <w:rPr>
          <w:b/>
          <w:bCs/>
          <w:lang w:val="en-GB"/>
        </w:rPr>
        <w:t xml:space="preserve">enabling factors </w:t>
      </w:r>
      <w:r w:rsidRPr="66F550AC">
        <w:rPr>
          <w:lang w:val="en-GB"/>
        </w:rPr>
        <w:t xml:space="preserve">help enhance </w:t>
      </w:r>
      <w:r w:rsidR="7A379B7D" w:rsidRPr="66F550AC">
        <w:rPr>
          <w:lang w:val="en-GB"/>
        </w:rPr>
        <w:t>civic space</w:t>
      </w:r>
      <w:r w:rsidRPr="66F550AC">
        <w:rPr>
          <w:lang w:val="en-GB"/>
        </w:rPr>
        <w:t xml:space="preserve"> and are thus cross-cutting priorities for the portfolio:</w:t>
      </w:r>
    </w:p>
    <w:p w14:paraId="06462F21" w14:textId="28F65F2E" w:rsidR="000A40B4" w:rsidRDefault="6BCCF710" w:rsidP="000A40B4">
      <w:pPr>
        <w:pStyle w:val="ListParagraph"/>
        <w:numPr>
          <w:ilvl w:val="0"/>
          <w:numId w:val="12"/>
        </w:numPr>
        <w:jc w:val="both"/>
        <w:rPr>
          <w:lang w:val="en-GB"/>
        </w:rPr>
      </w:pPr>
      <w:r w:rsidRPr="2729B06D">
        <w:rPr>
          <w:lang w:val="en-GB"/>
        </w:rPr>
        <w:t>Locally lead development and shifting power dynamics will enhanc</w:t>
      </w:r>
      <w:r w:rsidR="00F144D1">
        <w:rPr>
          <w:lang w:val="en-GB"/>
        </w:rPr>
        <w:t>e</w:t>
      </w:r>
      <w:r w:rsidRPr="2729B06D">
        <w:rPr>
          <w:lang w:val="en-GB"/>
        </w:rPr>
        <w:t xml:space="preserve"> the role of local actors in identifying the issues, strategies and tactics to be deployed at country level. As international connections and work at the normative level also are crucial, the aim for the </w:t>
      </w:r>
      <w:r w:rsidR="00F144D1">
        <w:rPr>
          <w:lang w:val="en-GB"/>
        </w:rPr>
        <w:t xml:space="preserve">Norad </w:t>
      </w:r>
      <w:r w:rsidRPr="2729B06D">
        <w:rPr>
          <w:lang w:val="en-GB"/>
        </w:rPr>
        <w:t>support is to be locally led and globally connected.</w:t>
      </w:r>
    </w:p>
    <w:p w14:paraId="08802FBA" w14:textId="6D5FF362" w:rsidR="002635F4" w:rsidRPr="00F144D1" w:rsidRDefault="6BCCF710" w:rsidP="00DD50BC">
      <w:pPr>
        <w:pStyle w:val="ListParagraph"/>
        <w:numPr>
          <w:ilvl w:val="0"/>
          <w:numId w:val="12"/>
        </w:numPr>
        <w:jc w:val="both"/>
        <w:rPr>
          <w:b/>
          <w:bCs/>
          <w:lang w:val="en-GB"/>
        </w:rPr>
      </w:pPr>
      <w:r w:rsidRPr="2729B06D">
        <w:rPr>
          <w:lang w:val="en-GB"/>
        </w:rPr>
        <w:t xml:space="preserve">Linking formal civil society with informal civil society actors like activists, youth groups and social movements </w:t>
      </w:r>
      <w:r w:rsidRPr="2729B06D">
        <w:rPr>
          <w:rFonts w:ascii="Calibri" w:eastAsia="Calibri" w:hAnsi="Calibri" w:cs="Calibri"/>
          <w:lang w:val="en-GB"/>
        </w:rPr>
        <w:t xml:space="preserve">is key </w:t>
      </w:r>
      <w:r w:rsidR="117B5C53" w:rsidRPr="2729B06D">
        <w:rPr>
          <w:rFonts w:ascii="Calibri" w:eastAsia="Calibri" w:hAnsi="Calibri" w:cs="Calibri"/>
          <w:lang w:val="en-GB"/>
        </w:rPr>
        <w:t xml:space="preserve">to </w:t>
      </w:r>
      <w:r w:rsidRPr="2729B06D">
        <w:rPr>
          <w:rFonts w:ascii="Calibri" w:eastAsia="Calibri" w:hAnsi="Calibri" w:cs="Calibri"/>
          <w:lang w:val="en-GB"/>
        </w:rPr>
        <w:t>foster a more inclusive approach and ensure representation and engagement</w:t>
      </w:r>
      <w:r w:rsidRPr="2729B06D">
        <w:rPr>
          <w:lang w:val="en-GB"/>
        </w:rPr>
        <w:t>.</w:t>
      </w:r>
    </w:p>
    <w:p w14:paraId="0866BF90" w14:textId="77777777" w:rsidR="00F144D1" w:rsidRDefault="002635F4" w:rsidP="00F144D1">
      <w:pPr>
        <w:spacing w:after="0"/>
        <w:rPr>
          <w:b/>
          <w:bCs/>
          <w:lang w:val="en-GB"/>
        </w:rPr>
      </w:pPr>
      <w:r w:rsidRPr="00B9538C">
        <w:rPr>
          <w:noProof/>
          <w:lang w:val="en-GB"/>
        </w:rPr>
        <w:lastRenderedPageBreak/>
        <mc:AlternateContent>
          <mc:Choice Requires="wps">
            <w:drawing>
              <wp:anchor distT="0" distB="0" distL="114300" distR="114300" simplePos="0" relativeHeight="251658241" behindDoc="0" locked="0" layoutInCell="1" allowOverlap="1" wp14:anchorId="24497E42" wp14:editId="327D74AE">
                <wp:simplePos x="0" y="0"/>
                <wp:positionH relativeFrom="column">
                  <wp:posOffset>-552450</wp:posOffset>
                </wp:positionH>
                <wp:positionV relativeFrom="paragraph">
                  <wp:posOffset>240665</wp:posOffset>
                </wp:positionV>
                <wp:extent cx="718820" cy="2918460"/>
                <wp:effectExtent l="38100" t="57150" r="43180" b="72390"/>
                <wp:wrapSquare wrapText="bothSides"/>
                <wp:docPr id="2102972401" name="Arrow: Up-Down 2102972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2918460"/>
                        </a:xfrm>
                        <a:prstGeom prst="upDownArrow">
                          <a:avLst>
                            <a:gd name="adj1" fmla="val 50000"/>
                            <a:gd name="adj2" fmla="val 10147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ED607AE" w14:textId="77777777" w:rsidR="002635F4" w:rsidRPr="008C2A0F" w:rsidRDefault="002635F4" w:rsidP="002635F4">
                            <w:pPr>
                              <w:pStyle w:val="NoSpacing"/>
                              <w:jc w:val="center"/>
                              <w:rPr>
                                <w:sz w:val="18"/>
                                <w:szCs w:val="18"/>
                              </w:rPr>
                            </w:pPr>
                            <w:r w:rsidRPr="008C2A0F">
                              <w:rPr>
                                <w:sz w:val="18"/>
                                <w:szCs w:val="18"/>
                              </w:rPr>
                              <w:t>Learning and sharing of experiences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97E4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102972401" o:spid="_x0000_s1026" type="#_x0000_t70" style="position:absolute;margin-left:-43.5pt;margin-top:18.95pt;width:56.6pt;height:2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" adj=",5398" fillcolor="#ed7d31 [3205]" strokecolor="#f2f2f2 [3041]" strokeweight="3pt">
                <v:shadow on="t" color="#823b0b [1605]" opacity=".5" offset="1pt"/>
                <v:textbox style="layout-flow:vertical-ideographic">
                  <w:txbxContent>
                    <w:p w14:paraId="5ED607AE" w14:textId="77777777" w:rsidR="002635F4" w:rsidRPr="008C2A0F" w:rsidRDefault="002635F4" w:rsidP="002635F4">
                      <w:pPr>
                        <w:pStyle w:val="NoSpacing"/>
                        <w:jc w:val="center"/>
                        <w:rPr>
                          <w:sz w:val="18"/>
                          <w:szCs w:val="18"/>
                        </w:rPr>
                      </w:pPr>
                      <w:r w:rsidRPr="008C2A0F">
                        <w:rPr>
                          <w:sz w:val="18"/>
                          <w:szCs w:val="18"/>
                        </w:rPr>
                        <w:t>Learning and sharing of experiences</w:t>
                      </w:r>
                    </w:p>
                  </w:txbxContent>
                </v:textbox>
                <w10:wrap type="square"/>
              </v:shape>
            </w:pict>
          </mc:Fallback>
        </mc:AlternateContent>
      </w:r>
      <w:r w:rsidRPr="00B9538C">
        <w:rPr>
          <w:noProof/>
          <w:lang w:val="en-GB"/>
        </w:rPr>
        <w:drawing>
          <wp:anchor distT="0" distB="0" distL="114300" distR="114300" simplePos="0" relativeHeight="251658240" behindDoc="0" locked="0" layoutInCell="1" allowOverlap="1" wp14:anchorId="11F214B9" wp14:editId="6B3DD6E9">
            <wp:simplePos x="0" y="0"/>
            <wp:positionH relativeFrom="margin">
              <wp:posOffset>0</wp:posOffset>
            </wp:positionH>
            <wp:positionV relativeFrom="paragraph">
              <wp:posOffset>202565</wp:posOffset>
            </wp:positionV>
            <wp:extent cx="2137410" cy="2947670"/>
            <wp:effectExtent l="19050" t="19050" r="34290" b="62230"/>
            <wp:wrapSquare wrapText="bothSides"/>
            <wp:docPr id="1595131272" name="Diagram 15951312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2C5198" w:rsidRPr="00B9538C">
        <w:rPr>
          <w:b/>
          <w:bCs/>
          <w:lang w:val="en-GB"/>
        </w:rPr>
        <w:t xml:space="preserve">How will the interventions </w:t>
      </w:r>
      <w:r w:rsidR="002C5198">
        <w:rPr>
          <w:b/>
          <w:bCs/>
          <w:lang w:val="en-GB"/>
        </w:rPr>
        <w:t>c</w:t>
      </w:r>
      <w:r w:rsidR="002C5198" w:rsidRPr="00B9538C">
        <w:rPr>
          <w:b/>
          <w:bCs/>
          <w:lang w:val="en-GB"/>
        </w:rPr>
        <w:t xml:space="preserve">ontribute to goal achievement? </w:t>
      </w:r>
    </w:p>
    <w:p w14:paraId="42462229" w14:textId="68CFB820" w:rsidR="002635F4" w:rsidRDefault="002C5198" w:rsidP="00F144D1">
      <w:pPr>
        <w:spacing w:after="0"/>
        <w:rPr>
          <w:lang w:val="en-GB"/>
        </w:rPr>
      </w:pPr>
      <w:r w:rsidRPr="2729B06D">
        <w:rPr>
          <w:lang w:val="en-GB"/>
        </w:rPr>
        <w:t>The</w:t>
      </w:r>
      <w:r w:rsidR="2D0BB5BD" w:rsidRPr="2729B06D">
        <w:rPr>
          <w:lang w:val="en-GB"/>
        </w:rPr>
        <w:t xml:space="preserve"> portfolio has </w:t>
      </w:r>
      <w:r w:rsidRPr="2729B06D">
        <w:rPr>
          <w:lang w:val="en-GB"/>
        </w:rPr>
        <w:t>three different partner levels</w:t>
      </w:r>
      <w:r w:rsidR="457D4561" w:rsidRPr="2729B06D">
        <w:rPr>
          <w:lang w:val="en-GB"/>
        </w:rPr>
        <w:t xml:space="preserve">: </w:t>
      </w:r>
      <w:r w:rsidR="3382ADE6" w:rsidRPr="2729B06D">
        <w:rPr>
          <w:lang w:val="en-GB"/>
        </w:rPr>
        <w:t>w</w:t>
      </w:r>
      <w:r w:rsidRPr="2729B06D">
        <w:rPr>
          <w:lang w:val="en-GB"/>
        </w:rPr>
        <w:t>hile the three change pathways are not specifically linked to either one, the intervention areas will somewhat differ between the three.</w:t>
      </w:r>
      <w:r w:rsidR="63CADA14" w:rsidRPr="2729B06D">
        <w:rPr>
          <w:lang w:val="en-GB"/>
        </w:rPr>
        <w:t xml:space="preserve"> </w:t>
      </w:r>
    </w:p>
    <w:p w14:paraId="1D75AF1A" w14:textId="77777777" w:rsidR="00F144D1" w:rsidRDefault="00F144D1" w:rsidP="00F144D1">
      <w:pPr>
        <w:spacing w:after="0"/>
        <w:rPr>
          <w:lang w:val="en-GB"/>
        </w:rPr>
      </w:pPr>
    </w:p>
    <w:p w14:paraId="4A09102C" w14:textId="77777777" w:rsidR="00F144D1" w:rsidRDefault="002635F4" w:rsidP="002635F4">
      <w:pPr>
        <w:jc w:val="both"/>
        <w:rPr>
          <w:lang w:val="en-GB"/>
        </w:rPr>
      </w:pPr>
      <w:r w:rsidRPr="7F184F97">
        <w:rPr>
          <w:lang w:val="en-GB"/>
        </w:rPr>
        <w:t xml:space="preserve">At the </w:t>
      </w:r>
      <w:r w:rsidRPr="7F184F97">
        <w:rPr>
          <w:b/>
          <w:bCs/>
          <w:lang w:val="en-GB"/>
        </w:rPr>
        <w:t>spearhead level</w:t>
      </w:r>
      <w:r w:rsidRPr="7F184F97">
        <w:rPr>
          <w:lang w:val="en-GB"/>
        </w:rPr>
        <w:t xml:space="preserve">, Norad funds international NGOs </w:t>
      </w:r>
      <w:r w:rsidR="298A8756" w:rsidRPr="7F184F97">
        <w:rPr>
          <w:lang w:val="en-GB"/>
        </w:rPr>
        <w:t xml:space="preserve">focusing on </w:t>
      </w:r>
      <w:r w:rsidRPr="7F184F97">
        <w:rPr>
          <w:lang w:val="en-GB"/>
        </w:rPr>
        <w:t xml:space="preserve">civic space and </w:t>
      </w:r>
      <w:r w:rsidR="6453AC11" w:rsidRPr="7F184F97">
        <w:rPr>
          <w:lang w:val="en-GB"/>
        </w:rPr>
        <w:t xml:space="preserve">civic </w:t>
      </w:r>
      <w:r w:rsidRPr="7F184F97">
        <w:rPr>
          <w:lang w:val="en-GB"/>
        </w:rPr>
        <w:t>freedoms</w:t>
      </w:r>
      <w:r w:rsidR="7D49FA71" w:rsidRPr="7F184F97">
        <w:rPr>
          <w:lang w:val="en-GB"/>
        </w:rPr>
        <w:t xml:space="preserve">, </w:t>
      </w:r>
      <w:r w:rsidRPr="7F184F97">
        <w:rPr>
          <w:lang w:val="en-GB"/>
        </w:rPr>
        <w:t xml:space="preserve">and work on </w:t>
      </w:r>
      <w:r w:rsidRPr="7F184F97">
        <w:rPr>
          <w:b/>
          <w:bCs/>
          <w:lang w:val="en-GB"/>
        </w:rPr>
        <w:t>knowledge and data</w:t>
      </w:r>
      <w:r w:rsidRPr="7F184F97">
        <w:rPr>
          <w:lang w:val="en-GB"/>
        </w:rPr>
        <w:t xml:space="preserve">-gathering on civic space. </w:t>
      </w:r>
    </w:p>
    <w:p w14:paraId="17995118" w14:textId="6723232B" w:rsidR="002635F4" w:rsidRPr="00697767" w:rsidRDefault="002635F4" w:rsidP="002635F4">
      <w:pPr>
        <w:jc w:val="both"/>
        <w:rPr>
          <w:lang w:val="en-GB"/>
        </w:rPr>
      </w:pPr>
      <w:r w:rsidRPr="7F184F97">
        <w:rPr>
          <w:lang w:val="en-GB"/>
        </w:rPr>
        <w:t xml:space="preserve">These organisations have experience facilitating CSO participation at the international level and credibility to </w:t>
      </w:r>
      <w:r w:rsidRPr="7F184F97">
        <w:rPr>
          <w:b/>
          <w:bCs/>
          <w:lang w:val="en-GB"/>
        </w:rPr>
        <w:t xml:space="preserve">advocate </w:t>
      </w:r>
      <w:r w:rsidRPr="7F184F97">
        <w:rPr>
          <w:lang w:val="en-GB"/>
        </w:rPr>
        <w:t>globally. They will serve as the engine of the change process, testing new and innovative models for protecting and enhancing civic space, work on experience sharing and learning, and focus on facilitation and coordination of the work to influence the global normative agenda.</w:t>
      </w:r>
    </w:p>
    <w:p w14:paraId="6FC8C328" w14:textId="77777777" w:rsidR="002635F4" w:rsidRDefault="002635F4" w:rsidP="002635F4">
      <w:pPr>
        <w:jc w:val="both"/>
        <w:rPr>
          <w:lang w:val="en-GB"/>
        </w:rPr>
      </w:pPr>
    </w:p>
    <w:p w14:paraId="03F3D3A4" w14:textId="2F98C540" w:rsidR="002635F4" w:rsidRDefault="002635F4" w:rsidP="002635F4">
      <w:pPr>
        <w:ind w:left="50"/>
        <w:jc w:val="both"/>
        <w:rPr>
          <w:lang w:val="en-GB"/>
        </w:rPr>
      </w:pPr>
      <w:r w:rsidRPr="7F184F97">
        <w:rPr>
          <w:lang w:val="en-GB"/>
        </w:rPr>
        <w:t xml:space="preserve">The global work will both be influenced by and feed into the </w:t>
      </w:r>
      <w:r w:rsidRPr="7F184F97">
        <w:rPr>
          <w:b/>
          <w:bCs/>
          <w:lang w:val="en-GB"/>
        </w:rPr>
        <w:t>advocacy work</w:t>
      </w:r>
      <w:r w:rsidRPr="7F184F97">
        <w:rPr>
          <w:lang w:val="en-GB"/>
        </w:rPr>
        <w:t xml:space="preserve"> and </w:t>
      </w:r>
      <w:r w:rsidRPr="7F184F97">
        <w:rPr>
          <w:b/>
          <w:bCs/>
          <w:lang w:val="en-GB"/>
        </w:rPr>
        <w:t>policy reforms</w:t>
      </w:r>
      <w:r w:rsidRPr="7F184F97">
        <w:rPr>
          <w:lang w:val="en-GB"/>
        </w:rPr>
        <w:t xml:space="preserve"> at the national level. </w:t>
      </w:r>
      <w:r w:rsidRPr="7F184F97">
        <w:rPr>
          <w:b/>
          <w:bCs/>
          <w:lang w:val="en-GB"/>
        </w:rPr>
        <w:t>Coalition</w:t>
      </w:r>
      <w:r w:rsidR="60F3A418" w:rsidRPr="7F184F97">
        <w:rPr>
          <w:b/>
          <w:bCs/>
          <w:lang w:val="en-GB"/>
        </w:rPr>
        <w:t>-</w:t>
      </w:r>
      <w:r w:rsidRPr="7F184F97">
        <w:rPr>
          <w:b/>
          <w:bCs/>
          <w:lang w:val="en-GB"/>
        </w:rPr>
        <w:t>building</w:t>
      </w:r>
      <w:r w:rsidRPr="7F184F97">
        <w:rPr>
          <w:lang w:val="en-GB"/>
        </w:rPr>
        <w:t xml:space="preserve"> between civil society, media and academic institutions will be crucial. </w:t>
      </w:r>
    </w:p>
    <w:p w14:paraId="67F5CCFF" w14:textId="77777777" w:rsidR="00F144D1" w:rsidRDefault="4D7973C0" w:rsidP="00F144D1">
      <w:pPr>
        <w:ind w:left="50"/>
        <w:jc w:val="both"/>
        <w:rPr>
          <w:lang w:val="en-GB"/>
        </w:rPr>
      </w:pPr>
      <w:r w:rsidRPr="7F184F97">
        <w:rPr>
          <w:lang w:val="en-GB"/>
        </w:rPr>
        <w:t>At</w:t>
      </w:r>
      <w:r w:rsidR="002635F4" w:rsidRPr="7F184F97">
        <w:rPr>
          <w:lang w:val="en-GB"/>
        </w:rPr>
        <w:t xml:space="preserve"> the </w:t>
      </w:r>
      <w:r w:rsidR="002635F4" w:rsidRPr="7F184F97">
        <w:rPr>
          <w:b/>
          <w:bCs/>
          <w:lang w:val="en-GB"/>
        </w:rPr>
        <w:t>mid-level</w:t>
      </w:r>
      <w:r w:rsidR="151C212F" w:rsidRPr="7F184F97">
        <w:rPr>
          <w:b/>
          <w:bCs/>
          <w:lang w:val="en-GB"/>
        </w:rPr>
        <w:t xml:space="preserve">, </w:t>
      </w:r>
      <w:r w:rsidR="002635F4" w:rsidRPr="7F184F97">
        <w:rPr>
          <w:lang w:val="en-GB"/>
        </w:rPr>
        <w:t xml:space="preserve">the focus will mainly be on financial support, strategic dialogue and exchange of experiences and lessons learned with Norwegian partner organisations working on strengthening civil society in ODA countries. </w:t>
      </w:r>
    </w:p>
    <w:p w14:paraId="74CCEC7B" w14:textId="4BE51AEB" w:rsidR="002635F4" w:rsidRPr="00B9538C" w:rsidRDefault="002635F4" w:rsidP="00F144D1">
      <w:pPr>
        <w:ind w:left="50"/>
        <w:jc w:val="both"/>
        <w:rPr>
          <w:lang w:val="en-GB"/>
        </w:rPr>
      </w:pPr>
      <w:r w:rsidRPr="00824926">
        <w:rPr>
          <w:lang w:val="en-GB"/>
        </w:rPr>
        <w:t xml:space="preserve">The </w:t>
      </w:r>
      <w:r w:rsidRPr="00421257">
        <w:rPr>
          <w:b/>
          <w:bCs/>
          <w:lang w:val="en-GB"/>
        </w:rPr>
        <w:t>bottom level</w:t>
      </w:r>
      <w:r w:rsidRPr="00824926">
        <w:rPr>
          <w:lang w:val="en-GB"/>
        </w:rPr>
        <w:t xml:space="preserve"> includes support to</w:t>
      </w:r>
      <w:r>
        <w:rPr>
          <w:lang w:val="en-GB"/>
        </w:rPr>
        <w:t xml:space="preserve"> and facilitation</w:t>
      </w:r>
      <w:r w:rsidRPr="00824926">
        <w:rPr>
          <w:lang w:val="en-GB"/>
        </w:rPr>
        <w:t xml:space="preserve"> </w:t>
      </w:r>
      <w:r>
        <w:rPr>
          <w:lang w:val="en-GB"/>
        </w:rPr>
        <w:t xml:space="preserve">of </w:t>
      </w:r>
      <w:r w:rsidRPr="00824926">
        <w:rPr>
          <w:lang w:val="en-GB"/>
        </w:rPr>
        <w:t>civil society in ODA countries</w:t>
      </w:r>
      <w:r>
        <w:rPr>
          <w:rStyle w:val="FootnoteReference"/>
          <w:lang w:val="en-GB"/>
        </w:rPr>
        <w:footnoteReference w:id="15"/>
      </w:r>
      <w:r>
        <w:rPr>
          <w:lang w:val="en-GB"/>
        </w:rPr>
        <w:t>, including networking and coalition</w:t>
      </w:r>
      <w:r w:rsidR="33346AAD">
        <w:rPr>
          <w:lang w:val="en-GB"/>
        </w:rPr>
        <w:t>-</w:t>
      </w:r>
      <w:r>
        <w:rPr>
          <w:lang w:val="en-GB"/>
        </w:rPr>
        <w:t>building,</w:t>
      </w:r>
      <w:r w:rsidRPr="00824926">
        <w:rPr>
          <w:lang w:val="en-GB"/>
        </w:rPr>
        <w:t xml:space="preserve"> that contributes to enhanc</w:t>
      </w:r>
      <w:r>
        <w:rPr>
          <w:lang w:val="en-GB"/>
        </w:rPr>
        <w:t>ing</w:t>
      </w:r>
      <w:r w:rsidRPr="00824926">
        <w:rPr>
          <w:lang w:val="en-GB"/>
        </w:rPr>
        <w:t xml:space="preserve"> civil society legitimacy and</w:t>
      </w:r>
      <w:r w:rsidR="00F144D1">
        <w:rPr>
          <w:lang w:val="en-GB"/>
        </w:rPr>
        <w:t xml:space="preserve"> </w:t>
      </w:r>
      <w:r w:rsidRPr="00824926">
        <w:rPr>
          <w:lang w:val="en-GB"/>
        </w:rPr>
        <w:t>engagement. Agreements at this level are not directly part of the portfolio but may</w:t>
      </w:r>
      <w:r>
        <w:rPr>
          <w:lang w:val="en-GB"/>
        </w:rPr>
        <w:t xml:space="preserve"> be used to gather experiences and lessons learned on a country level,</w:t>
      </w:r>
      <w:r w:rsidRPr="00824926">
        <w:rPr>
          <w:lang w:val="en-GB"/>
        </w:rPr>
        <w:t xml:space="preserve"> </w:t>
      </w:r>
      <w:r>
        <w:rPr>
          <w:lang w:val="en-GB"/>
        </w:rPr>
        <w:t xml:space="preserve">also </w:t>
      </w:r>
      <w:r w:rsidRPr="00824926">
        <w:rPr>
          <w:lang w:val="en-GB"/>
        </w:rPr>
        <w:t>contribut</w:t>
      </w:r>
      <w:r>
        <w:rPr>
          <w:lang w:val="en-GB"/>
        </w:rPr>
        <w:t>ing</w:t>
      </w:r>
      <w:r w:rsidRPr="00824926">
        <w:rPr>
          <w:lang w:val="en-GB"/>
        </w:rPr>
        <w:t xml:space="preserve"> to </w:t>
      </w:r>
      <w:r w:rsidRPr="00421257">
        <w:rPr>
          <w:b/>
          <w:bCs/>
          <w:lang w:val="en-GB"/>
        </w:rPr>
        <w:t>knowledge production and sharing</w:t>
      </w:r>
      <w:r>
        <w:rPr>
          <w:lang w:val="en-GB"/>
        </w:rPr>
        <w:t>.</w:t>
      </w:r>
    </w:p>
    <w:p w14:paraId="34486A0B" w14:textId="0BA7D90D" w:rsidR="002635F4" w:rsidRDefault="002635F4" w:rsidP="002635F4">
      <w:pPr>
        <w:jc w:val="both"/>
        <w:rPr>
          <w:b/>
          <w:bCs/>
          <w:lang w:val="en-GB"/>
        </w:rPr>
      </w:pPr>
      <w:r w:rsidRPr="00B9538C">
        <w:rPr>
          <w:b/>
          <w:bCs/>
          <w:lang w:val="en-GB"/>
        </w:rPr>
        <w:t>Knowledge and data</w:t>
      </w:r>
      <w:r w:rsidRPr="00B9538C">
        <w:rPr>
          <w:lang w:val="en-GB"/>
        </w:rPr>
        <w:t xml:space="preserve"> on </w:t>
      </w:r>
      <w:r>
        <w:rPr>
          <w:lang w:val="en-GB"/>
        </w:rPr>
        <w:t xml:space="preserve">current </w:t>
      </w:r>
      <w:r w:rsidRPr="00B9538C">
        <w:rPr>
          <w:lang w:val="en-GB"/>
        </w:rPr>
        <w:t>trends of democracy and civic space is well documented.</w:t>
      </w:r>
      <w:r w:rsidRPr="00B9538C">
        <w:rPr>
          <w:rStyle w:val="FootnoteReference"/>
          <w:lang w:val="en-GB"/>
        </w:rPr>
        <w:footnoteReference w:id="16"/>
      </w:r>
      <w:r w:rsidRPr="00B9538C">
        <w:rPr>
          <w:lang w:val="en-GB"/>
        </w:rPr>
        <w:t xml:space="preserve"> However</w:t>
      </w:r>
      <w:r>
        <w:rPr>
          <w:lang w:val="en-GB"/>
        </w:rPr>
        <w:t>,</w:t>
      </w:r>
      <w:r w:rsidRPr="00B9538C">
        <w:rPr>
          <w:lang w:val="en-GB"/>
        </w:rPr>
        <w:t xml:space="preserve"> there is a need for </w:t>
      </w:r>
      <w:r w:rsidR="6D66BA02" w:rsidRPr="00B9538C">
        <w:rPr>
          <w:lang w:val="en-GB"/>
        </w:rPr>
        <w:t>increased</w:t>
      </w:r>
      <w:r w:rsidRPr="00B9538C">
        <w:rPr>
          <w:lang w:val="en-GB"/>
        </w:rPr>
        <w:t xml:space="preserve"> knowledge on what works best in </w:t>
      </w:r>
      <w:r>
        <w:rPr>
          <w:lang w:val="en-GB"/>
        </w:rPr>
        <w:t>different</w:t>
      </w:r>
      <w:r w:rsidRPr="00B9538C">
        <w:rPr>
          <w:lang w:val="en-GB"/>
        </w:rPr>
        <w:t xml:space="preserve"> contexts</w:t>
      </w:r>
      <w:r w:rsidR="6EEFB146" w:rsidRPr="00B9538C">
        <w:rPr>
          <w:lang w:val="en-GB"/>
        </w:rPr>
        <w:t xml:space="preserve">, as well as </w:t>
      </w:r>
      <w:r>
        <w:rPr>
          <w:lang w:val="en-GB"/>
        </w:rPr>
        <w:t xml:space="preserve">to </w:t>
      </w:r>
      <w:r w:rsidRPr="00B9538C">
        <w:rPr>
          <w:lang w:val="en-GB"/>
        </w:rPr>
        <w:t xml:space="preserve">create spaces for </w:t>
      </w:r>
      <w:r>
        <w:rPr>
          <w:lang w:val="en-GB"/>
        </w:rPr>
        <w:t>CSOs</w:t>
      </w:r>
      <w:r w:rsidRPr="00B9538C">
        <w:rPr>
          <w:lang w:val="en-GB"/>
        </w:rPr>
        <w:t xml:space="preserve"> to share and learn</w:t>
      </w:r>
      <w:r w:rsidR="2A9DD08A" w:rsidRPr="00B9538C">
        <w:rPr>
          <w:lang w:val="en-GB"/>
        </w:rPr>
        <w:t xml:space="preserve"> from </w:t>
      </w:r>
      <w:r w:rsidR="0041478C" w:rsidRPr="00B9538C">
        <w:rPr>
          <w:lang w:val="en-GB"/>
        </w:rPr>
        <w:t>each other</w:t>
      </w:r>
      <w:r w:rsidRPr="00B9538C">
        <w:rPr>
          <w:lang w:val="en-GB"/>
        </w:rPr>
        <w:t xml:space="preserve">. </w:t>
      </w:r>
      <w:r>
        <w:rPr>
          <w:lang w:val="en-GB"/>
        </w:rPr>
        <w:t xml:space="preserve">The portfolio will enable Norad to gain more knowledge and experience on relevant issues, as outlined in the knowledge plan for the portfolio. </w:t>
      </w:r>
      <w:r w:rsidRPr="00B9538C">
        <w:rPr>
          <w:lang w:val="en-GB"/>
        </w:rPr>
        <w:t xml:space="preserve">The specific sequencing of interventions will vary, depending on the country contexts. </w:t>
      </w:r>
      <w:r w:rsidR="007E0FEF">
        <w:rPr>
          <w:lang w:val="en-GB"/>
        </w:rPr>
        <w:t xml:space="preserve">We will also </w:t>
      </w:r>
      <w:r w:rsidR="00517959">
        <w:rPr>
          <w:lang w:val="en-GB"/>
        </w:rPr>
        <w:t>connect other portfolios to these partner levels</w:t>
      </w:r>
      <w:r w:rsidR="5A2679E7">
        <w:rPr>
          <w:lang w:val="en-GB"/>
        </w:rPr>
        <w:t>,</w:t>
      </w:r>
      <w:r w:rsidR="00143548">
        <w:rPr>
          <w:lang w:val="en-GB"/>
        </w:rPr>
        <w:t xml:space="preserve"> where relevant. We know that there are several civil society organisations working </w:t>
      </w:r>
      <w:r w:rsidR="00B75C18">
        <w:rPr>
          <w:lang w:val="en-GB"/>
        </w:rPr>
        <w:t xml:space="preserve">with all three change pathways and towards the same outcomes within other thematic portfolios in Norad, and when </w:t>
      </w:r>
      <w:r w:rsidR="007E496B">
        <w:rPr>
          <w:lang w:val="en-GB"/>
        </w:rPr>
        <w:t xml:space="preserve">there is an identified link, we will connect them to the </w:t>
      </w:r>
      <w:r w:rsidR="00A57799">
        <w:rPr>
          <w:lang w:val="en-GB"/>
        </w:rPr>
        <w:t xml:space="preserve">ongoing sharing of </w:t>
      </w:r>
      <w:r w:rsidR="007E496B">
        <w:rPr>
          <w:lang w:val="en-GB"/>
        </w:rPr>
        <w:t>knowledge and learning</w:t>
      </w:r>
      <w:r w:rsidR="00A57799">
        <w:rPr>
          <w:lang w:val="en-GB"/>
        </w:rPr>
        <w:t xml:space="preserve"> </w:t>
      </w:r>
      <w:r w:rsidR="713843CF">
        <w:rPr>
          <w:lang w:val="en-GB"/>
        </w:rPr>
        <w:t>with</w:t>
      </w:r>
      <w:r w:rsidR="00A57799">
        <w:rPr>
          <w:lang w:val="en-GB"/>
        </w:rPr>
        <w:t>in this portfolio.</w:t>
      </w:r>
    </w:p>
    <w:p w14:paraId="5918E643" w14:textId="6D50924E" w:rsidR="002635F4" w:rsidRPr="00421257" w:rsidRDefault="002635F4" w:rsidP="002635F4">
      <w:pPr>
        <w:jc w:val="both"/>
        <w:rPr>
          <w:lang w:val="en-GB"/>
        </w:rPr>
      </w:pPr>
      <w:r w:rsidRPr="7F184F97">
        <w:rPr>
          <w:lang w:val="en-GB"/>
        </w:rPr>
        <w:lastRenderedPageBreak/>
        <w:t xml:space="preserve">While Norad’s contributions and civil society’s work </w:t>
      </w:r>
      <w:r w:rsidR="0638F947" w:rsidRPr="7F184F97">
        <w:rPr>
          <w:lang w:val="en-GB"/>
        </w:rPr>
        <w:t>aim at</w:t>
      </w:r>
      <w:r w:rsidRPr="7F184F97">
        <w:rPr>
          <w:lang w:val="en-GB"/>
        </w:rPr>
        <w:t xml:space="preserve"> </w:t>
      </w:r>
      <w:r w:rsidR="1D40B3AA" w:rsidRPr="7F184F97">
        <w:rPr>
          <w:lang w:val="en-GB"/>
        </w:rPr>
        <w:t xml:space="preserve">(in the long run) </w:t>
      </w:r>
      <w:r w:rsidRPr="7F184F97">
        <w:rPr>
          <w:lang w:val="en-GB"/>
        </w:rPr>
        <w:t>strengthened advocacy and</w:t>
      </w:r>
      <w:r w:rsidR="5BE389A5" w:rsidRPr="7F184F97">
        <w:rPr>
          <w:lang w:val="en-GB"/>
        </w:rPr>
        <w:t>,</w:t>
      </w:r>
      <w:r w:rsidRPr="7F184F97">
        <w:rPr>
          <w:lang w:val="en-GB"/>
        </w:rPr>
        <w:t xml:space="preserve"> ultimately</w:t>
      </w:r>
      <w:r w:rsidR="57B3AD69" w:rsidRPr="7F184F97">
        <w:rPr>
          <w:lang w:val="en-GB"/>
        </w:rPr>
        <w:t>,</w:t>
      </w:r>
      <w:r w:rsidRPr="7F184F97">
        <w:rPr>
          <w:lang w:val="en-GB"/>
        </w:rPr>
        <w:t xml:space="preserve"> the three long-term goals, the results on the impact level goal of an enhanced and protected civic space will vary depending on </w:t>
      </w:r>
      <w:r w:rsidR="33FDBE3A" w:rsidRPr="7F184F97">
        <w:rPr>
          <w:lang w:val="en-GB"/>
        </w:rPr>
        <w:t xml:space="preserve">several </w:t>
      </w:r>
      <w:r w:rsidRPr="7F184F97">
        <w:rPr>
          <w:lang w:val="en-GB"/>
        </w:rPr>
        <w:t>factors</w:t>
      </w:r>
      <w:r w:rsidR="5EA0A6F4" w:rsidRPr="7F184F97">
        <w:rPr>
          <w:lang w:val="en-GB"/>
        </w:rPr>
        <w:t xml:space="preserve">, </w:t>
      </w:r>
      <w:r w:rsidRPr="7F184F97">
        <w:rPr>
          <w:lang w:val="en-GB"/>
        </w:rPr>
        <w:t>such as whether:</w:t>
      </w:r>
    </w:p>
    <w:p w14:paraId="2B467002" w14:textId="77777777" w:rsidR="002635F4" w:rsidRPr="0041478C" w:rsidRDefault="002635F4" w:rsidP="002635F4">
      <w:pPr>
        <w:pStyle w:val="ListParagraph"/>
        <w:numPr>
          <w:ilvl w:val="0"/>
          <w:numId w:val="2"/>
        </w:numPr>
        <w:rPr>
          <w:i/>
          <w:iCs/>
          <w:lang w:val="en-GB"/>
        </w:rPr>
      </w:pPr>
      <w:r w:rsidRPr="0041478C">
        <w:rPr>
          <w:i/>
          <w:iCs/>
          <w:lang w:val="en-GB"/>
        </w:rPr>
        <w:t>Global normative processes influence national governments</w:t>
      </w:r>
    </w:p>
    <w:p w14:paraId="4843C422" w14:textId="28D7A64D" w:rsidR="002635F4" w:rsidRPr="0041478C" w:rsidRDefault="002635F4" w:rsidP="002635F4">
      <w:pPr>
        <w:pStyle w:val="ListParagraph"/>
        <w:numPr>
          <w:ilvl w:val="0"/>
          <w:numId w:val="2"/>
        </w:numPr>
        <w:jc w:val="both"/>
        <w:rPr>
          <w:i/>
          <w:iCs/>
          <w:lang w:val="en-GB"/>
        </w:rPr>
      </w:pPr>
      <w:r w:rsidRPr="0041478C">
        <w:rPr>
          <w:i/>
          <w:iCs/>
          <w:lang w:val="en-GB"/>
        </w:rPr>
        <w:t>International actors give civil society access</w:t>
      </w:r>
      <w:r w:rsidR="12595733" w:rsidRPr="0041478C">
        <w:rPr>
          <w:i/>
          <w:iCs/>
          <w:lang w:val="en-GB"/>
        </w:rPr>
        <w:t xml:space="preserve"> to influence policy and politics </w:t>
      </w:r>
    </w:p>
    <w:p w14:paraId="6AC82A29" w14:textId="4709A841" w:rsidR="002635F4" w:rsidRPr="0041478C" w:rsidRDefault="002635F4" w:rsidP="002635F4">
      <w:pPr>
        <w:pStyle w:val="ListParagraph"/>
        <w:numPr>
          <w:ilvl w:val="0"/>
          <w:numId w:val="2"/>
        </w:numPr>
        <w:jc w:val="both"/>
        <w:rPr>
          <w:i/>
          <w:iCs/>
          <w:lang w:val="en-GB"/>
        </w:rPr>
      </w:pPr>
      <w:r w:rsidRPr="0041478C">
        <w:rPr>
          <w:i/>
          <w:iCs/>
          <w:lang w:val="en-GB"/>
        </w:rPr>
        <w:t>Civil society has legitimacy and accountability: “</w:t>
      </w:r>
      <w:r w:rsidRPr="0041478C">
        <w:rPr>
          <w:i/>
          <w:iCs/>
          <w:lang w:val="en-US"/>
        </w:rPr>
        <w:t>The legitimacy of a civil society actor is linked to the degree to which other stakeholders perceive their actions as being both justifiable and appropriate</w:t>
      </w:r>
      <w:r w:rsidR="28252F14" w:rsidRPr="0041478C">
        <w:rPr>
          <w:i/>
          <w:iCs/>
          <w:lang w:val="en-US"/>
        </w:rPr>
        <w:t xml:space="preserve"> [ </w:t>
      </w:r>
      <w:proofErr w:type="gramStart"/>
      <w:r w:rsidRPr="0041478C">
        <w:rPr>
          <w:i/>
          <w:iCs/>
          <w:lang w:val="en-US"/>
        </w:rPr>
        <w:t xml:space="preserve">… </w:t>
      </w:r>
      <w:r w:rsidR="21973AEC" w:rsidRPr="0041478C">
        <w:rPr>
          <w:i/>
          <w:iCs/>
          <w:lang w:val="en-US"/>
        </w:rPr>
        <w:t>]</w:t>
      </w:r>
      <w:proofErr w:type="gramEnd"/>
      <w:r w:rsidR="21973AEC" w:rsidRPr="0041478C">
        <w:rPr>
          <w:i/>
          <w:iCs/>
          <w:lang w:val="en-US"/>
        </w:rPr>
        <w:t xml:space="preserve">. </w:t>
      </w:r>
      <w:r w:rsidRPr="0041478C">
        <w:rPr>
          <w:i/>
          <w:iCs/>
          <w:lang w:val="en-US"/>
        </w:rPr>
        <w:t>The accountability of civil society actors refers to their willingness and ability to answer to, and take responsibility for, their actions, activities and messages”</w:t>
      </w:r>
      <w:r w:rsidRPr="0041478C">
        <w:rPr>
          <w:rStyle w:val="FootnoteReference"/>
          <w:i/>
          <w:iCs/>
          <w:lang w:val="en-US"/>
        </w:rPr>
        <w:footnoteReference w:id="17"/>
      </w:r>
      <w:r w:rsidRPr="0041478C" w:rsidDel="00A11732">
        <w:rPr>
          <w:i/>
          <w:iCs/>
          <w:lang w:val="en-GB"/>
        </w:rPr>
        <w:t xml:space="preserve"> </w:t>
      </w:r>
    </w:p>
    <w:p w14:paraId="1C06509F" w14:textId="77777777" w:rsidR="002635F4" w:rsidRPr="0041478C" w:rsidRDefault="002635F4" w:rsidP="002635F4">
      <w:pPr>
        <w:pStyle w:val="ListParagraph"/>
        <w:numPr>
          <w:ilvl w:val="0"/>
          <w:numId w:val="2"/>
        </w:numPr>
        <w:jc w:val="both"/>
        <w:rPr>
          <w:i/>
          <w:iCs/>
          <w:lang w:val="en-GB"/>
        </w:rPr>
      </w:pPr>
      <w:r w:rsidRPr="0041478C">
        <w:rPr>
          <w:i/>
          <w:iCs/>
          <w:lang w:val="en-GB"/>
        </w:rPr>
        <w:t>Coordinated efforts by civil society and allies will help shift incentives among political elites and increase political will to protect civic space</w:t>
      </w:r>
    </w:p>
    <w:p w14:paraId="394FA2A1" w14:textId="244A506B" w:rsidR="002635F4" w:rsidRPr="0041478C" w:rsidRDefault="002635F4" w:rsidP="002635F4">
      <w:pPr>
        <w:pStyle w:val="ListParagraph"/>
        <w:numPr>
          <w:ilvl w:val="0"/>
          <w:numId w:val="2"/>
        </w:numPr>
        <w:jc w:val="both"/>
        <w:rPr>
          <w:i/>
          <w:iCs/>
          <w:lang w:val="en-GB"/>
        </w:rPr>
      </w:pPr>
      <w:r w:rsidRPr="0041478C">
        <w:rPr>
          <w:i/>
          <w:iCs/>
          <w:lang w:val="en-GB"/>
        </w:rPr>
        <w:t>National civil society sets aside competition and collaborate</w:t>
      </w:r>
      <w:r w:rsidR="24EF916E" w:rsidRPr="0041478C">
        <w:rPr>
          <w:i/>
          <w:iCs/>
          <w:lang w:val="en-GB"/>
        </w:rPr>
        <w:t xml:space="preserve"> actively </w:t>
      </w:r>
    </w:p>
    <w:p w14:paraId="3F1EBD2D" w14:textId="77777777" w:rsidR="002635F4" w:rsidRPr="0041478C" w:rsidRDefault="002635F4" w:rsidP="002635F4">
      <w:pPr>
        <w:pStyle w:val="ListParagraph"/>
        <w:numPr>
          <w:ilvl w:val="0"/>
          <w:numId w:val="2"/>
        </w:numPr>
        <w:jc w:val="both"/>
        <w:rPr>
          <w:i/>
          <w:iCs/>
          <w:lang w:val="en-GB"/>
        </w:rPr>
      </w:pPr>
      <w:r w:rsidRPr="0041478C">
        <w:rPr>
          <w:i/>
          <w:iCs/>
          <w:lang w:val="en-GB"/>
        </w:rPr>
        <w:t xml:space="preserve">Civil society utilizes knowledge and lessons on how to best protect and enhance space </w:t>
      </w:r>
    </w:p>
    <w:p w14:paraId="194C3427" w14:textId="77777777" w:rsidR="002635F4" w:rsidRPr="00DD50BC" w:rsidRDefault="002635F4" w:rsidP="002635F4">
      <w:pPr>
        <w:rPr>
          <w:lang w:val="en-US"/>
        </w:rPr>
      </w:pPr>
    </w:p>
    <w:p w14:paraId="1B79769D" w14:textId="77777777" w:rsidR="002635F4" w:rsidRPr="00DD50BC" w:rsidRDefault="002635F4" w:rsidP="002635F4">
      <w:pPr>
        <w:rPr>
          <w:lang w:val="en-US"/>
        </w:rPr>
      </w:pPr>
    </w:p>
    <w:p w14:paraId="1DC83297" w14:textId="77777777" w:rsidR="002635F4" w:rsidRPr="00421257" w:rsidRDefault="002635F4" w:rsidP="002635F4">
      <w:pPr>
        <w:rPr>
          <w:lang w:val="en-US"/>
        </w:rPr>
      </w:pPr>
    </w:p>
    <w:p w14:paraId="1A40C2E5" w14:textId="77777777" w:rsidR="002635F4" w:rsidRPr="00596E78" w:rsidRDefault="002635F4" w:rsidP="00DD50BC">
      <w:pPr>
        <w:jc w:val="both"/>
        <w:rPr>
          <w:sz w:val="18"/>
          <w:szCs w:val="18"/>
          <w:lang w:val="en-US"/>
        </w:rPr>
      </w:pPr>
    </w:p>
    <w:p w14:paraId="78A14AFD" w14:textId="77777777" w:rsidR="00DD50BC" w:rsidRPr="00DD50BC" w:rsidRDefault="00DD50BC" w:rsidP="00423D07">
      <w:pPr>
        <w:rPr>
          <w:lang w:val="en-GB"/>
        </w:rPr>
      </w:pPr>
    </w:p>
    <w:p w14:paraId="0B29CAF1" w14:textId="77777777" w:rsidR="00DD50BC" w:rsidRPr="00DD50BC" w:rsidRDefault="00DD50BC" w:rsidP="00423D07">
      <w:pPr>
        <w:rPr>
          <w:lang w:val="en-US"/>
        </w:rPr>
      </w:pPr>
    </w:p>
    <w:p w14:paraId="0EF802C3" w14:textId="141154BC" w:rsidR="00DD50BC" w:rsidRPr="00DD50BC" w:rsidRDefault="00EE1A37" w:rsidP="00423D07">
      <w:pPr>
        <w:rPr>
          <w:lang w:val="en-US"/>
        </w:rPr>
      </w:pPr>
      <w:r>
        <w:rPr>
          <w:noProof/>
        </w:rPr>
        <w:lastRenderedPageBreak/>
        <w:drawing>
          <wp:inline distT="0" distB="0" distL="0" distR="0" wp14:anchorId="77EC7C1F" wp14:editId="410D3343">
            <wp:extent cx="9228667" cy="5191125"/>
            <wp:effectExtent l="0" t="0" r="0" b="0"/>
            <wp:docPr id="13202970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97068"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9235135" cy="5194763"/>
                    </a:xfrm>
                    <a:prstGeom prst="rect">
                      <a:avLst/>
                    </a:prstGeom>
                  </pic:spPr>
                </pic:pic>
              </a:graphicData>
            </a:graphic>
          </wp:inline>
        </w:drawing>
      </w:r>
    </w:p>
    <w:sectPr w:rsidR="00DD50BC" w:rsidRPr="00DD50BC" w:rsidSect="002A744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A377" w14:textId="77777777" w:rsidR="00E00B43" w:rsidRDefault="00E00B43" w:rsidP="00DD50BC">
      <w:pPr>
        <w:spacing w:after="0" w:line="240" w:lineRule="auto"/>
      </w:pPr>
      <w:r>
        <w:separator/>
      </w:r>
    </w:p>
  </w:endnote>
  <w:endnote w:type="continuationSeparator" w:id="0">
    <w:p w14:paraId="26A6CDC2" w14:textId="77777777" w:rsidR="00E00B43" w:rsidRDefault="00E00B43" w:rsidP="00DD50BC">
      <w:pPr>
        <w:spacing w:after="0" w:line="240" w:lineRule="auto"/>
      </w:pPr>
      <w:r>
        <w:continuationSeparator/>
      </w:r>
    </w:p>
  </w:endnote>
  <w:endnote w:type="continuationNotice" w:id="1">
    <w:p w14:paraId="22EB0EC4" w14:textId="77777777" w:rsidR="00E00B43" w:rsidRDefault="00E00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9919" w14:textId="77777777" w:rsidR="00E00B43" w:rsidRDefault="00E00B43" w:rsidP="00DD50BC">
      <w:pPr>
        <w:spacing w:after="0" w:line="240" w:lineRule="auto"/>
      </w:pPr>
      <w:r>
        <w:separator/>
      </w:r>
    </w:p>
  </w:footnote>
  <w:footnote w:type="continuationSeparator" w:id="0">
    <w:p w14:paraId="07D90F14" w14:textId="77777777" w:rsidR="00E00B43" w:rsidRDefault="00E00B43" w:rsidP="00DD50BC">
      <w:pPr>
        <w:spacing w:after="0" w:line="240" w:lineRule="auto"/>
      </w:pPr>
      <w:r>
        <w:continuationSeparator/>
      </w:r>
    </w:p>
  </w:footnote>
  <w:footnote w:type="continuationNotice" w:id="1">
    <w:p w14:paraId="5F66D495" w14:textId="77777777" w:rsidR="00E00B43" w:rsidRDefault="00E00B43">
      <w:pPr>
        <w:spacing w:after="0" w:line="240" w:lineRule="auto"/>
      </w:pPr>
    </w:p>
  </w:footnote>
  <w:footnote w:id="2">
    <w:p w14:paraId="14092AEB" w14:textId="4F7E9A1E" w:rsidR="0040079D" w:rsidRPr="00200C05" w:rsidRDefault="0040079D" w:rsidP="0040079D">
      <w:pPr>
        <w:pStyle w:val="FootnoteText"/>
        <w:rPr>
          <w:sz w:val="18"/>
          <w:szCs w:val="18"/>
          <w:lang w:val="en-US"/>
        </w:rPr>
      </w:pPr>
      <w:r w:rsidRPr="00200C05">
        <w:rPr>
          <w:rStyle w:val="FootnoteReference"/>
          <w:sz w:val="18"/>
          <w:szCs w:val="18"/>
        </w:rPr>
        <w:footnoteRef/>
      </w:r>
      <w:hyperlink r:id="rId1" w:history="1">
        <w:r w:rsidR="00200C05" w:rsidRPr="00200C05">
          <w:rPr>
            <w:color w:val="0070C0"/>
            <w:kern w:val="2"/>
            <w:sz w:val="18"/>
            <w:szCs w:val="18"/>
            <w:u w:val="single"/>
            <w:lang w:val="en-US"/>
            <w14:ligatures w14:val="standardContextual"/>
          </w:rPr>
          <w:t>Civic space | OECD</w:t>
        </w:r>
      </w:hyperlink>
      <w:r w:rsidR="00200C05" w:rsidRPr="00200C05">
        <w:rPr>
          <w:color w:val="0070C0"/>
          <w:kern w:val="2"/>
          <w:sz w:val="18"/>
          <w:szCs w:val="18"/>
          <w:lang w:val="en-US"/>
          <w14:ligatures w14:val="standardContextual"/>
        </w:rPr>
        <w:t>: «the set of conditions non-governmental actors need to participate in public life</w:t>
      </w:r>
      <w:r w:rsidR="00200C05">
        <w:rPr>
          <w:color w:val="0070C0"/>
          <w:kern w:val="2"/>
          <w:sz w:val="18"/>
          <w:szCs w:val="18"/>
          <w:lang w:val="en-US"/>
          <w14:ligatures w14:val="standardContextual"/>
        </w:rPr>
        <w:t>”</w:t>
      </w:r>
    </w:p>
  </w:footnote>
  <w:footnote w:id="3">
    <w:p w14:paraId="06D59BC1" w14:textId="77777777" w:rsidR="00DA5605" w:rsidRPr="00F17EF4" w:rsidRDefault="00DA5605" w:rsidP="00DA5605">
      <w:pPr>
        <w:pStyle w:val="FootnoteText"/>
        <w:rPr>
          <w:lang w:val="en-US"/>
        </w:rPr>
      </w:pPr>
      <w:r>
        <w:rPr>
          <w:rStyle w:val="FootnoteReference"/>
        </w:rPr>
        <w:footnoteRef/>
      </w:r>
      <w:r w:rsidRPr="0C83B200">
        <w:rPr>
          <w:lang w:val="en-GB"/>
        </w:rPr>
        <w:t xml:space="preserve">We base our definition of civil society on </w:t>
      </w:r>
      <w:hyperlink r:id="rId2" w:history="1">
        <w:r w:rsidRPr="008D4EA5">
          <w:rPr>
            <w:rStyle w:val="Hyperlink"/>
            <w:lang w:val="en-US"/>
          </w:rPr>
          <w:t>NORAD’S SUPPORT TO CIVIL SOCIETY: GUIDING PRINCIPLES</w:t>
        </w:r>
      </w:hyperlink>
    </w:p>
  </w:footnote>
  <w:footnote w:id="4">
    <w:p w14:paraId="3676A4AE" w14:textId="77777777" w:rsidR="000A4D7B" w:rsidRPr="0077469A" w:rsidRDefault="000A4D7B" w:rsidP="000A4D7B">
      <w:pPr>
        <w:pStyle w:val="FootnoteText"/>
        <w:rPr>
          <w:sz w:val="18"/>
          <w:szCs w:val="18"/>
        </w:rPr>
      </w:pPr>
      <w:r w:rsidRPr="0077469A">
        <w:rPr>
          <w:rStyle w:val="FootnoteReference"/>
          <w:sz w:val="18"/>
          <w:szCs w:val="18"/>
        </w:rPr>
        <w:footnoteRef/>
      </w:r>
      <w:r w:rsidRPr="0077469A">
        <w:rPr>
          <w:sz w:val="18"/>
          <w:szCs w:val="18"/>
        </w:rPr>
        <w:t xml:space="preserve"> </w:t>
      </w:r>
      <w:hyperlink r:id="rId3" w:history="1">
        <w:r w:rsidRPr="0077469A">
          <w:rPr>
            <w:rStyle w:val="Hyperlink"/>
            <w:sz w:val="18"/>
            <w:szCs w:val="18"/>
          </w:rPr>
          <w:t xml:space="preserve">Effekter av </w:t>
        </w:r>
        <w:proofErr w:type="spellStart"/>
        <w:r w:rsidRPr="0077469A">
          <w:rPr>
            <w:rStyle w:val="Hyperlink"/>
            <w:sz w:val="18"/>
            <w:szCs w:val="18"/>
          </w:rPr>
          <w:t>svenskt</w:t>
        </w:r>
        <w:proofErr w:type="spellEnd"/>
        <w:r w:rsidRPr="0077469A">
          <w:rPr>
            <w:rStyle w:val="Hyperlink"/>
            <w:sz w:val="18"/>
            <w:szCs w:val="18"/>
          </w:rPr>
          <w:t xml:space="preserve"> </w:t>
        </w:r>
        <w:proofErr w:type="spellStart"/>
        <w:r w:rsidRPr="0077469A">
          <w:rPr>
            <w:rStyle w:val="Hyperlink"/>
            <w:sz w:val="18"/>
            <w:szCs w:val="18"/>
          </w:rPr>
          <w:t>och</w:t>
        </w:r>
        <w:proofErr w:type="spellEnd"/>
        <w:r w:rsidRPr="0077469A">
          <w:rPr>
            <w:rStyle w:val="Hyperlink"/>
            <w:sz w:val="18"/>
            <w:szCs w:val="18"/>
          </w:rPr>
          <w:t xml:space="preserve"> </w:t>
        </w:r>
        <w:proofErr w:type="spellStart"/>
        <w:r w:rsidRPr="0077469A">
          <w:rPr>
            <w:rStyle w:val="Hyperlink"/>
            <w:sz w:val="18"/>
            <w:szCs w:val="18"/>
          </w:rPr>
          <w:t>internationellt</w:t>
        </w:r>
        <w:proofErr w:type="spellEnd"/>
        <w:r w:rsidRPr="0077469A">
          <w:rPr>
            <w:rStyle w:val="Hyperlink"/>
            <w:sz w:val="18"/>
            <w:szCs w:val="18"/>
          </w:rPr>
          <w:t xml:space="preserve"> </w:t>
        </w:r>
        <w:proofErr w:type="spellStart"/>
        <w:r w:rsidRPr="0077469A">
          <w:rPr>
            <w:rStyle w:val="Hyperlink"/>
            <w:sz w:val="18"/>
            <w:szCs w:val="18"/>
          </w:rPr>
          <w:t>demokratibistånd</w:t>
        </w:r>
        <w:proofErr w:type="spellEnd"/>
        <w:r w:rsidRPr="0077469A">
          <w:rPr>
            <w:rStyle w:val="Hyperlink"/>
            <w:sz w:val="18"/>
            <w:szCs w:val="18"/>
          </w:rPr>
          <w:t xml:space="preserve"> | EBA</w:t>
        </w:r>
      </w:hyperlink>
    </w:p>
  </w:footnote>
  <w:footnote w:id="5">
    <w:p w14:paraId="0B19CBB0" w14:textId="77777777" w:rsidR="005D2744" w:rsidRPr="0077469A" w:rsidRDefault="005D2744" w:rsidP="005D2744">
      <w:pPr>
        <w:pStyle w:val="FootnoteText"/>
        <w:rPr>
          <w:sz w:val="18"/>
          <w:szCs w:val="18"/>
          <w:lang w:val="en-GB"/>
        </w:rPr>
      </w:pPr>
      <w:r w:rsidRPr="0077469A">
        <w:rPr>
          <w:rStyle w:val="FootnoteReference"/>
          <w:sz w:val="18"/>
          <w:szCs w:val="18"/>
          <w:lang w:val="en-GB"/>
        </w:rPr>
        <w:footnoteRef/>
      </w:r>
      <w:r w:rsidRPr="0077469A">
        <w:rPr>
          <w:sz w:val="18"/>
          <w:szCs w:val="18"/>
          <w:lang w:val="en-GB"/>
        </w:rPr>
        <w:t xml:space="preserve"> As reported by </w:t>
      </w:r>
      <w:hyperlink r:id="rId4" w:history="1">
        <w:r w:rsidRPr="0077469A">
          <w:rPr>
            <w:rStyle w:val="Hyperlink"/>
            <w:sz w:val="18"/>
            <w:szCs w:val="18"/>
            <w:lang w:val="en-GB"/>
          </w:rPr>
          <w:t>V-Dem</w:t>
        </w:r>
      </w:hyperlink>
      <w:r w:rsidRPr="0077469A">
        <w:rPr>
          <w:sz w:val="18"/>
          <w:szCs w:val="18"/>
          <w:lang w:val="en-GB"/>
        </w:rPr>
        <w:t xml:space="preserve">, </w:t>
      </w:r>
      <w:hyperlink r:id="rId5" w:history="1">
        <w:r w:rsidRPr="0077469A">
          <w:rPr>
            <w:rStyle w:val="Hyperlink"/>
            <w:sz w:val="18"/>
            <w:szCs w:val="18"/>
            <w:lang w:val="en-GB"/>
          </w:rPr>
          <w:t>Freedom House</w:t>
        </w:r>
      </w:hyperlink>
      <w:r w:rsidRPr="0077469A">
        <w:rPr>
          <w:sz w:val="18"/>
          <w:szCs w:val="18"/>
          <w:lang w:val="en-GB"/>
        </w:rPr>
        <w:t xml:space="preserve"> and the Economist Intelligence Unit’s </w:t>
      </w:r>
      <w:hyperlink r:id="rId6" w:history="1">
        <w:r w:rsidRPr="0077469A">
          <w:rPr>
            <w:rStyle w:val="Hyperlink"/>
            <w:sz w:val="18"/>
            <w:szCs w:val="18"/>
            <w:lang w:val="en-GB"/>
          </w:rPr>
          <w:t>Democracy Index.</w:t>
        </w:r>
      </w:hyperlink>
    </w:p>
  </w:footnote>
  <w:footnote w:id="6">
    <w:p w14:paraId="67BA5643" w14:textId="5DB53738" w:rsidR="005266CD" w:rsidRPr="0077469A" w:rsidRDefault="005266CD">
      <w:pPr>
        <w:pStyle w:val="FootnoteText"/>
        <w:rPr>
          <w:sz w:val="18"/>
          <w:szCs w:val="18"/>
          <w:lang w:val="en-US"/>
        </w:rPr>
      </w:pPr>
      <w:r w:rsidRPr="0077469A">
        <w:rPr>
          <w:rStyle w:val="FootnoteReference"/>
          <w:sz w:val="18"/>
          <w:szCs w:val="18"/>
        </w:rPr>
        <w:footnoteRef/>
      </w:r>
      <w:r w:rsidRPr="0077469A">
        <w:rPr>
          <w:sz w:val="18"/>
          <w:szCs w:val="18"/>
          <w:lang w:val="en-US"/>
        </w:rPr>
        <w:t xml:space="preserve"> </w:t>
      </w:r>
      <w:r w:rsidRPr="0077469A">
        <w:rPr>
          <w:rFonts w:eastAsiaTheme="minorEastAsia"/>
          <w:color w:val="242424"/>
          <w:sz w:val="18"/>
          <w:szCs w:val="18"/>
          <w:lang w:val="en-GB"/>
        </w:rPr>
        <w:t>the Liberties Law Report 2025</w:t>
      </w:r>
    </w:p>
  </w:footnote>
  <w:footnote w:id="7">
    <w:p w14:paraId="34162043" w14:textId="553CE403" w:rsidR="00D533BB" w:rsidRPr="00596E78" w:rsidRDefault="00D533BB">
      <w:pPr>
        <w:pStyle w:val="FootnoteText"/>
        <w:rPr>
          <w:lang w:val="en-US"/>
        </w:rPr>
      </w:pPr>
      <w:r>
        <w:rPr>
          <w:rStyle w:val="FootnoteReference"/>
        </w:rPr>
        <w:footnoteRef/>
      </w:r>
      <w:r w:rsidRPr="00596E78">
        <w:rPr>
          <w:lang w:val="en-US"/>
        </w:rPr>
        <w:t xml:space="preserve"> </w:t>
      </w:r>
      <w:hyperlink r:id="rId7" w:history="1">
        <w:r w:rsidR="001C6252" w:rsidRPr="00596E78">
          <w:rPr>
            <w:rStyle w:val="Hyperlink"/>
            <w:lang w:val="en-US"/>
          </w:rPr>
          <w:t>A New Wave of Repression on Civic Space</w:t>
        </w:r>
      </w:hyperlink>
    </w:p>
  </w:footnote>
  <w:footnote w:id="8">
    <w:p w14:paraId="3AC7F102" w14:textId="77777777" w:rsidR="005266CD" w:rsidRPr="0077469A" w:rsidRDefault="005266CD" w:rsidP="005266CD">
      <w:pPr>
        <w:pStyle w:val="FootnoteText"/>
        <w:rPr>
          <w:sz w:val="18"/>
          <w:szCs w:val="18"/>
          <w:lang w:val="en-US"/>
        </w:rPr>
      </w:pPr>
      <w:r w:rsidRPr="0077469A">
        <w:rPr>
          <w:rStyle w:val="FootnoteReference"/>
          <w:sz w:val="18"/>
          <w:szCs w:val="18"/>
        </w:rPr>
        <w:footnoteRef/>
      </w:r>
      <w:r w:rsidRPr="0077469A">
        <w:rPr>
          <w:sz w:val="18"/>
          <w:szCs w:val="18"/>
          <w:lang w:val="en-US"/>
        </w:rPr>
        <w:t xml:space="preserve"> Governments have referred to The Financial Action Task Force (FATF) Standards of 40 recommendations, when passing draconian anti-terror financing legislation, and especially recommendation number 8. </w:t>
      </w:r>
    </w:p>
  </w:footnote>
  <w:footnote w:id="9">
    <w:p w14:paraId="1B450F92" w14:textId="77777777" w:rsidR="005B3BB7" w:rsidRPr="005C6009" w:rsidRDefault="005B3BB7" w:rsidP="005B3BB7">
      <w:pPr>
        <w:pStyle w:val="NoSpacing"/>
        <w:rPr>
          <w:sz w:val="18"/>
          <w:szCs w:val="18"/>
        </w:rPr>
      </w:pPr>
      <w:r w:rsidRPr="0077469A">
        <w:rPr>
          <w:rStyle w:val="FootnoteReference"/>
          <w:sz w:val="18"/>
          <w:szCs w:val="18"/>
        </w:rPr>
        <w:footnoteRef/>
      </w:r>
      <w:r w:rsidRPr="0077469A">
        <w:rPr>
          <w:sz w:val="18"/>
          <w:szCs w:val="18"/>
        </w:rPr>
        <w:t xml:space="preserve"> Danish MFA, </w:t>
      </w:r>
      <w:hyperlink r:id="rId8" w:history="1">
        <w:r w:rsidRPr="0077469A">
          <w:rPr>
            <w:rStyle w:val="Hyperlink"/>
            <w:sz w:val="18"/>
            <w:szCs w:val="18"/>
          </w:rPr>
          <w:t>Study of Danish Support to Informally organised Civil Society and Social Movements in Developing Countries</w:t>
        </w:r>
      </w:hyperlink>
      <w:r w:rsidRPr="0077469A">
        <w:rPr>
          <w:sz w:val="18"/>
          <w:szCs w:val="18"/>
        </w:rPr>
        <w:t>, July 2021, published September 2021.</w:t>
      </w:r>
    </w:p>
  </w:footnote>
  <w:footnote w:id="10">
    <w:p w14:paraId="41D3F605" w14:textId="77777777" w:rsidR="0070217D" w:rsidRPr="005C6009" w:rsidRDefault="0070217D" w:rsidP="0070217D">
      <w:pPr>
        <w:pStyle w:val="FootnoteText"/>
        <w:rPr>
          <w:sz w:val="18"/>
          <w:szCs w:val="18"/>
          <w:lang w:val="en-US"/>
        </w:rPr>
      </w:pPr>
      <w:r w:rsidRPr="005C6009">
        <w:rPr>
          <w:rStyle w:val="FootnoteReference"/>
          <w:sz w:val="18"/>
          <w:szCs w:val="18"/>
        </w:rPr>
        <w:footnoteRef/>
      </w:r>
      <w:r w:rsidRPr="005C6009">
        <w:rPr>
          <w:sz w:val="18"/>
          <w:szCs w:val="18"/>
          <w:lang w:val="en-US"/>
        </w:rPr>
        <w:t xml:space="preserve"> Including between the more established formal civil society and informal civil society like activists and social movements.</w:t>
      </w:r>
    </w:p>
  </w:footnote>
  <w:footnote w:id="11">
    <w:p w14:paraId="3767A7AD" w14:textId="6A5FF72B" w:rsidR="00100E80" w:rsidRPr="00596E78" w:rsidRDefault="00100E80">
      <w:pPr>
        <w:pStyle w:val="FootnoteText"/>
        <w:rPr>
          <w:lang w:val="en-US"/>
        </w:rPr>
      </w:pPr>
      <w:r>
        <w:rPr>
          <w:rStyle w:val="FootnoteReference"/>
        </w:rPr>
        <w:footnoteRef/>
      </w:r>
      <w:r w:rsidRPr="00596E78">
        <w:rPr>
          <w:lang w:val="en-US"/>
        </w:rPr>
        <w:t xml:space="preserve"> </w:t>
      </w:r>
      <w:hyperlink r:id="rId9" w:history="1">
        <w:r w:rsidRPr="00076C4C">
          <w:rPr>
            <w:rStyle w:val="Hyperlink"/>
            <w:sz w:val="18"/>
            <w:szCs w:val="18"/>
            <w:lang w:val="en-US"/>
          </w:rPr>
          <w:t>ICNL Report from the African regional workshop on Protecting Civic Space,</w:t>
        </w:r>
      </w:hyperlink>
      <w:r w:rsidRPr="00076C4C">
        <w:rPr>
          <w:sz w:val="18"/>
          <w:szCs w:val="18"/>
          <w:lang w:val="en-US"/>
        </w:rPr>
        <w:t xml:space="preserve"> 2014, University of Pretoria as quoted in Westminster Foundation for Democracy (WFD), </w:t>
      </w:r>
      <w:hyperlink r:id="rId10" w:history="1">
        <w:r w:rsidRPr="00076C4C">
          <w:rPr>
            <w:rStyle w:val="Hyperlink"/>
            <w:sz w:val="18"/>
            <w:szCs w:val="18"/>
            <w:lang w:val="en-US"/>
          </w:rPr>
          <w:t>Addressing the global emergency of shrinking civic space and how to reclaim it: a programming guide,</w:t>
        </w:r>
      </w:hyperlink>
      <w:r w:rsidRPr="00076C4C">
        <w:rPr>
          <w:sz w:val="18"/>
          <w:szCs w:val="18"/>
          <w:lang w:val="en-US"/>
        </w:rPr>
        <w:t xml:space="preserve"> December 2020.</w:t>
      </w:r>
    </w:p>
  </w:footnote>
  <w:footnote w:id="12">
    <w:p w14:paraId="6B83CCB9" w14:textId="77777777" w:rsidR="00C277AD" w:rsidRPr="00916195" w:rsidRDefault="00C277AD" w:rsidP="00C277AD">
      <w:pPr>
        <w:pStyle w:val="FootnoteText"/>
        <w:rPr>
          <w:lang w:val="en-US"/>
        </w:rPr>
      </w:pPr>
      <w:r w:rsidRPr="005C6009">
        <w:rPr>
          <w:rStyle w:val="FootnoteReference"/>
          <w:sz w:val="18"/>
          <w:szCs w:val="18"/>
        </w:rPr>
        <w:footnoteRef/>
      </w:r>
      <w:r w:rsidRPr="005C6009">
        <w:rPr>
          <w:sz w:val="18"/>
          <w:szCs w:val="18"/>
          <w:lang w:val="en-US"/>
        </w:rPr>
        <w:t xml:space="preserve"> This includes protection from different threats like surveillance, theft and misuse of sensitive data, targeted disinformation, and deep fakes that discredit and attacks civil society and civic leaders</w:t>
      </w:r>
      <w:r>
        <w:rPr>
          <w:sz w:val="18"/>
          <w:szCs w:val="18"/>
          <w:lang w:val="en-US"/>
        </w:rPr>
        <w:t>, with women and minority groups often being targeted the most</w:t>
      </w:r>
      <w:r w:rsidRPr="005C6009">
        <w:rPr>
          <w:sz w:val="18"/>
          <w:szCs w:val="18"/>
          <w:lang w:val="en-US"/>
        </w:rPr>
        <w:t>.</w:t>
      </w:r>
    </w:p>
  </w:footnote>
  <w:footnote w:id="13">
    <w:p w14:paraId="590F07D4" w14:textId="77777777" w:rsidR="000A40B4" w:rsidRPr="00F60B1F" w:rsidRDefault="000A40B4" w:rsidP="000A40B4">
      <w:pPr>
        <w:pStyle w:val="FootnoteText"/>
        <w:rPr>
          <w:lang w:val="en-US"/>
        </w:rPr>
      </w:pPr>
      <w:r>
        <w:rPr>
          <w:rStyle w:val="FootnoteReference"/>
        </w:rPr>
        <w:footnoteRef/>
      </w:r>
      <w:r w:rsidRPr="00802425">
        <w:rPr>
          <w:lang w:val="en-US"/>
        </w:rPr>
        <w:t xml:space="preserve"> </w:t>
      </w:r>
      <w:hyperlink r:id="rId11" w:history="1">
        <w:r w:rsidRPr="00802425">
          <w:rPr>
            <w:rStyle w:val="Hyperlink"/>
            <w:lang w:val="en-US"/>
          </w:rPr>
          <w:t>Home (civicus.org)</w:t>
        </w:r>
      </w:hyperlink>
    </w:p>
  </w:footnote>
  <w:footnote w:id="14">
    <w:p w14:paraId="2F3BFA0B" w14:textId="77777777" w:rsidR="7F184F97" w:rsidRDefault="7F184F97" w:rsidP="7F184F97">
      <w:pPr>
        <w:pStyle w:val="FootnoteText"/>
        <w:rPr>
          <w:sz w:val="18"/>
          <w:szCs w:val="18"/>
          <w:lang w:val="en-GB"/>
        </w:rPr>
      </w:pPr>
      <w:r w:rsidRPr="7F184F97">
        <w:rPr>
          <w:rStyle w:val="FootnoteReference"/>
          <w:sz w:val="18"/>
          <w:szCs w:val="18"/>
          <w:lang w:val="en-GB"/>
        </w:rPr>
        <w:footnoteRef/>
      </w:r>
      <w:r w:rsidRPr="7F184F97">
        <w:rPr>
          <w:sz w:val="18"/>
          <w:szCs w:val="18"/>
          <w:lang w:val="en-GB"/>
        </w:rPr>
        <w:t xml:space="preserve"> </w:t>
      </w:r>
      <w:hyperlink r:id="rId12" w:history="1">
        <w:r w:rsidRPr="7F184F97">
          <w:rPr>
            <w:rStyle w:val="Hyperlink"/>
            <w:sz w:val="18"/>
            <w:szCs w:val="18"/>
            <w:lang w:val="en-GB"/>
          </w:rPr>
          <w:t>Civicus Monitor</w:t>
        </w:r>
      </w:hyperlink>
    </w:p>
  </w:footnote>
  <w:footnote w:id="15">
    <w:p w14:paraId="188C12CB" w14:textId="7970A8A9" w:rsidR="002635F4" w:rsidRPr="008C7E65" w:rsidRDefault="002635F4" w:rsidP="002635F4">
      <w:pPr>
        <w:pStyle w:val="FootnoteText"/>
        <w:rPr>
          <w:lang w:val="en-US"/>
        </w:rPr>
      </w:pPr>
      <w:r>
        <w:rPr>
          <w:rStyle w:val="FootnoteReference"/>
        </w:rPr>
        <w:footnoteRef/>
      </w:r>
      <w:r w:rsidRPr="00A619CC">
        <w:rPr>
          <w:lang w:val="en-US"/>
        </w:rPr>
        <w:t xml:space="preserve"> </w:t>
      </w:r>
      <w:hyperlink r:id="rId13" w:history="1">
        <w:r w:rsidRPr="00A619CC">
          <w:rPr>
            <w:rStyle w:val="Hyperlink"/>
            <w:lang w:val="en-US"/>
          </w:rPr>
          <w:t xml:space="preserve">ODA recipients: countries, territories, and international </w:t>
        </w:r>
        <w:proofErr w:type="spellStart"/>
        <w:r w:rsidRPr="00A619CC">
          <w:rPr>
            <w:rStyle w:val="Hyperlink"/>
            <w:lang w:val="en-US"/>
          </w:rPr>
          <w:t>organisations</w:t>
        </w:r>
        <w:proofErr w:type="spellEnd"/>
        <w:r w:rsidRPr="00A619CC">
          <w:rPr>
            <w:rStyle w:val="Hyperlink"/>
            <w:lang w:val="en-US"/>
          </w:rPr>
          <w:t xml:space="preserve"> | OECD</w:t>
        </w:r>
      </w:hyperlink>
      <w:r>
        <w:rPr>
          <w:lang w:val="en-US"/>
        </w:rPr>
        <w:t xml:space="preserve"> </w:t>
      </w:r>
    </w:p>
  </w:footnote>
  <w:footnote w:id="16">
    <w:p w14:paraId="50B9AE64" w14:textId="77777777" w:rsidR="002635F4" w:rsidRPr="00B9538C" w:rsidRDefault="002635F4" w:rsidP="002635F4">
      <w:pPr>
        <w:pStyle w:val="FootnoteText"/>
        <w:rPr>
          <w:sz w:val="18"/>
          <w:szCs w:val="18"/>
          <w:lang w:val="en-GB"/>
        </w:rPr>
      </w:pPr>
      <w:r w:rsidRPr="00B9538C">
        <w:rPr>
          <w:rStyle w:val="FootnoteReference"/>
          <w:sz w:val="18"/>
          <w:szCs w:val="18"/>
          <w:lang w:val="en-GB"/>
        </w:rPr>
        <w:footnoteRef/>
      </w:r>
      <w:r w:rsidRPr="00B9538C">
        <w:rPr>
          <w:sz w:val="18"/>
          <w:szCs w:val="18"/>
          <w:lang w:val="en-GB"/>
        </w:rPr>
        <w:t xml:space="preserve"> V-Dem, Freedom House, the Economist Intelligence Units and Civicus Monitor.</w:t>
      </w:r>
    </w:p>
  </w:footnote>
  <w:footnote w:id="17">
    <w:p w14:paraId="7E641874" w14:textId="77777777" w:rsidR="002635F4" w:rsidRPr="00421257" w:rsidRDefault="002635F4" w:rsidP="002635F4">
      <w:pPr>
        <w:pStyle w:val="FootnoteText"/>
        <w:rPr>
          <w:lang w:val="en-US"/>
        </w:rPr>
      </w:pPr>
      <w:r>
        <w:rPr>
          <w:rStyle w:val="FootnoteReference"/>
        </w:rPr>
        <w:footnoteRef/>
      </w:r>
      <w:r w:rsidRPr="00421257">
        <w:rPr>
          <w:lang w:val="en-US"/>
        </w:rPr>
        <w:t xml:space="preserve"> </w:t>
      </w:r>
      <w:hyperlink r:id="rId14" w:history="1">
        <w:r w:rsidRPr="008D4EA5">
          <w:rPr>
            <w:rStyle w:val="Hyperlink"/>
            <w:lang w:val="en-US"/>
          </w:rPr>
          <w:t>NORAD’S SUPPORT TO CIVIL SOCIETY: GUIDING PRINCIPLES</w:t>
        </w:r>
      </w:hyperlink>
      <w:r w:rsidRPr="00421257">
        <w:rPr>
          <w:lang w:val="en-US"/>
        </w:rPr>
        <w:t>,</w:t>
      </w:r>
      <w:r>
        <w:rPr>
          <w:lang w:val="en-US"/>
        </w:rPr>
        <w:t xml:space="preserve"> pages 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2B1"/>
    <w:multiLevelType w:val="hybridMultilevel"/>
    <w:tmpl w:val="6792BF02"/>
    <w:lvl w:ilvl="0" w:tplc="CF7A2C00">
      <w:start w:val="1"/>
      <w:numFmt w:val="decimal"/>
      <w:lvlText w:val="%1."/>
      <w:lvlJc w:val="left"/>
      <w:pPr>
        <w:ind w:left="410" w:hanging="360"/>
      </w:pPr>
      <w:rPr>
        <w:rFonts w:hint="default"/>
        <w:b w:val="0"/>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 w15:restartNumberingAfterBreak="0">
    <w:nsid w:val="03812799"/>
    <w:multiLevelType w:val="hybridMultilevel"/>
    <w:tmpl w:val="A006A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0A32"/>
    <w:multiLevelType w:val="hybridMultilevel"/>
    <w:tmpl w:val="6FB25B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D7F16"/>
    <w:multiLevelType w:val="hybridMultilevel"/>
    <w:tmpl w:val="4A1A3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1330"/>
    <w:multiLevelType w:val="hybridMultilevel"/>
    <w:tmpl w:val="72C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5BDF"/>
    <w:multiLevelType w:val="hybridMultilevel"/>
    <w:tmpl w:val="86BAF3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2C11B9"/>
    <w:multiLevelType w:val="hybridMultilevel"/>
    <w:tmpl w:val="CFB29070"/>
    <w:lvl w:ilvl="0" w:tplc="28CA48A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255A168A"/>
    <w:multiLevelType w:val="hybridMultilevel"/>
    <w:tmpl w:val="EE0A88DE"/>
    <w:lvl w:ilvl="0" w:tplc="3EE2EC9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3140"/>
    <w:multiLevelType w:val="hybridMultilevel"/>
    <w:tmpl w:val="40A67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71D7"/>
    <w:multiLevelType w:val="hybridMultilevel"/>
    <w:tmpl w:val="D67AAA52"/>
    <w:lvl w:ilvl="0" w:tplc="13562D1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1271"/>
    <w:multiLevelType w:val="hybridMultilevel"/>
    <w:tmpl w:val="A72A65D0"/>
    <w:lvl w:ilvl="0" w:tplc="ACC6B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03835"/>
    <w:multiLevelType w:val="hybridMultilevel"/>
    <w:tmpl w:val="5D0ABBC4"/>
    <w:lvl w:ilvl="0" w:tplc="04090001">
      <w:start w:val="1"/>
      <w:numFmt w:val="bullet"/>
      <w:lvlText w:val=""/>
      <w:lvlJc w:val="left"/>
      <w:pPr>
        <w:ind w:left="410" w:hanging="360"/>
      </w:pPr>
      <w:rPr>
        <w:rFonts w:ascii="Symbol" w:hAnsi="Symbol" w:hint="default"/>
        <w:b w:val="0"/>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2" w15:restartNumberingAfterBreak="0">
    <w:nsid w:val="40356E3A"/>
    <w:multiLevelType w:val="hybridMultilevel"/>
    <w:tmpl w:val="1D3A8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06E0B30"/>
    <w:multiLevelType w:val="hybridMultilevel"/>
    <w:tmpl w:val="D39EFDE4"/>
    <w:lvl w:ilvl="0" w:tplc="3EE2EC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C1BD2"/>
    <w:multiLevelType w:val="hybridMultilevel"/>
    <w:tmpl w:val="56767B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86A1F3C"/>
    <w:multiLevelType w:val="hybridMultilevel"/>
    <w:tmpl w:val="ED14C7DA"/>
    <w:lvl w:ilvl="0" w:tplc="645CA05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345E2"/>
    <w:multiLevelType w:val="hybridMultilevel"/>
    <w:tmpl w:val="5C2A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979F9"/>
    <w:multiLevelType w:val="hybridMultilevel"/>
    <w:tmpl w:val="6840B6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83424767">
    <w:abstractNumId w:val="1"/>
  </w:num>
  <w:num w:numId="2" w16cid:durableId="1139760965">
    <w:abstractNumId w:val="7"/>
  </w:num>
  <w:num w:numId="3" w16cid:durableId="2066903494">
    <w:abstractNumId w:val="9"/>
  </w:num>
  <w:num w:numId="4" w16cid:durableId="1679236235">
    <w:abstractNumId w:val="15"/>
  </w:num>
  <w:num w:numId="5" w16cid:durableId="152569037">
    <w:abstractNumId w:val="0"/>
  </w:num>
  <w:num w:numId="6" w16cid:durableId="264776893">
    <w:abstractNumId w:val="6"/>
  </w:num>
  <w:num w:numId="7" w16cid:durableId="229580094">
    <w:abstractNumId w:val="12"/>
  </w:num>
  <w:num w:numId="8" w16cid:durableId="165945006">
    <w:abstractNumId w:val="3"/>
  </w:num>
  <w:num w:numId="9" w16cid:durableId="1529487238">
    <w:abstractNumId w:val="8"/>
  </w:num>
  <w:num w:numId="10" w16cid:durableId="25759321">
    <w:abstractNumId w:val="14"/>
  </w:num>
  <w:num w:numId="11" w16cid:durableId="1880630048">
    <w:abstractNumId w:val="5"/>
  </w:num>
  <w:num w:numId="12" w16cid:durableId="1375348606">
    <w:abstractNumId w:val="17"/>
  </w:num>
  <w:num w:numId="13" w16cid:durableId="1140001426">
    <w:abstractNumId w:val="13"/>
  </w:num>
  <w:num w:numId="14" w16cid:durableId="1608082529">
    <w:abstractNumId w:val="2"/>
  </w:num>
  <w:num w:numId="15" w16cid:durableId="318922785">
    <w:abstractNumId w:val="11"/>
  </w:num>
  <w:num w:numId="16" w16cid:durableId="841243604">
    <w:abstractNumId w:val="4"/>
  </w:num>
  <w:num w:numId="17" w16cid:durableId="1649360608">
    <w:abstractNumId w:val="16"/>
  </w:num>
  <w:num w:numId="18" w16cid:durableId="1510364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07"/>
    <w:rsid w:val="0000728D"/>
    <w:rsid w:val="00030B6E"/>
    <w:rsid w:val="000438A9"/>
    <w:rsid w:val="00050BA7"/>
    <w:rsid w:val="00051BA4"/>
    <w:rsid w:val="0006423D"/>
    <w:rsid w:val="00066D46"/>
    <w:rsid w:val="00080B47"/>
    <w:rsid w:val="00095B35"/>
    <w:rsid w:val="000A3F2A"/>
    <w:rsid w:val="000A40B4"/>
    <w:rsid w:val="000A4D7B"/>
    <w:rsid w:val="000B4830"/>
    <w:rsid w:val="000C444F"/>
    <w:rsid w:val="000C6575"/>
    <w:rsid w:val="000C768E"/>
    <w:rsid w:val="000D2BF5"/>
    <w:rsid w:val="000D5D0A"/>
    <w:rsid w:val="000F1F9C"/>
    <w:rsid w:val="000F247E"/>
    <w:rsid w:val="000F25BA"/>
    <w:rsid w:val="000F4402"/>
    <w:rsid w:val="00100E80"/>
    <w:rsid w:val="00104384"/>
    <w:rsid w:val="00113899"/>
    <w:rsid w:val="00114ACE"/>
    <w:rsid w:val="00127A7C"/>
    <w:rsid w:val="00127F9B"/>
    <w:rsid w:val="001335D7"/>
    <w:rsid w:val="00143548"/>
    <w:rsid w:val="00186375"/>
    <w:rsid w:val="001C3D1C"/>
    <w:rsid w:val="001C6252"/>
    <w:rsid w:val="001D4EAE"/>
    <w:rsid w:val="001E4F47"/>
    <w:rsid w:val="001E5002"/>
    <w:rsid w:val="001E66D9"/>
    <w:rsid w:val="001F6E1E"/>
    <w:rsid w:val="001F6E92"/>
    <w:rsid w:val="001F773D"/>
    <w:rsid w:val="00200C05"/>
    <w:rsid w:val="00204DFA"/>
    <w:rsid w:val="00210424"/>
    <w:rsid w:val="00217395"/>
    <w:rsid w:val="0022317B"/>
    <w:rsid w:val="00233711"/>
    <w:rsid w:val="00244F18"/>
    <w:rsid w:val="0025369F"/>
    <w:rsid w:val="002635F4"/>
    <w:rsid w:val="002774B5"/>
    <w:rsid w:val="002825BC"/>
    <w:rsid w:val="00287366"/>
    <w:rsid w:val="00287573"/>
    <w:rsid w:val="002A744B"/>
    <w:rsid w:val="002A7E41"/>
    <w:rsid w:val="002C5198"/>
    <w:rsid w:val="002F4F64"/>
    <w:rsid w:val="00304A36"/>
    <w:rsid w:val="00306C65"/>
    <w:rsid w:val="00327D4C"/>
    <w:rsid w:val="003662BB"/>
    <w:rsid w:val="00375F3C"/>
    <w:rsid w:val="00387C55"/>
    <w:rsid w:val="00394CD5"/>
    <w:rsid w:val="003C0D7A"/>
    <w:rsid w:val="003D1CFB"/>
    <w:rsid w:val="003D4B70"/>
    <w:rsid w:val="003D64E1"/>
    <w:rsid w:val="003E16D1"/>
    <w:rsid w:val="003E4957"/>
    <w:rsid w:val="003E4E20"/>
    <w:rsid w:val="003E532E"/>
    <w:rsid w:val="003E7499"/>
    <w:rsid w:val="003F3AD0"/>
    <w:rsid w:val="003F69F6"/>
    <w:rsid w:val="0040079D"/>
    <w:rsid w:val="00412A48"/>
    <w:rsid w:val="0041478C"/>
    <w:rsid w:val="004158D7"/>
    <w:rsid w:val="00417B83"/>
    <w:rsid w:val="0042299F"/>
    <w:rsid w:val="00423D07"/>
    <w:rsid w:val="00442DF2"/>
    <w:rsid w:val="00453A4C"/>
    <w:rsid w:val="00457628"/>
    <w:rsid w:val="00460834"/>
    <w:rsid w:val="0046733F"/>
    <w:rsid w:val="004767DC"/>
    <w:rsid w:val="004867D9"/>
    <w:rsid w:val="004C576B"/>
    <w:rsid w:val="00506BE8"/>
    <w:rsid w:val="00512173"/>
    <w:rsid w:val="0051664B"/>
    <w:rsid w:val="00517959"/>
    <w:rsid w:val="005226A2"/>
    <w:rsid w:val="005266CD"/>
    <w:rsid w:val="00530D29"/>
    <w:rsid w:val="00543EDB"/>
    <w:rsid w:val="005442D1"/>
    <w:rsid w:val="00547697"/>
    <w:rsid w:val="005500E2"/>
    <w:rsid w:val="00551259"/>
    <w:rsid w:val="00553926"/>
    <w:rsid w:val="00555F5D"/>
    <w:rsid w:val="00565D0E"/>
    <w:rsid w:val="005769B3"/>
    <w:rsid w:val="005808EA"/>
    <w:rsid w:val="005826E0"/>
    <w:rsid w:val="00596E78"/>
    <w:rsid w:val="005B1C2B"/>
    <w:rsid w:val="005B3BB7"/>
    <w:rsid w:val="005C029B"/>
    <w:rsid w:val="005D2744"/>
    <w:rsid w:val="005D331B"/>
    <w:rsid w:val="005E021E"/>
    <w:rsid w:val="005F1AD5"/>
    <w:rsid w:val="006012E5"/>
    <w:rsid w:val="00607AAD"/>
    <w:rsid w:val="00615172"/>
    <w:rsid w:val="006331B5"/>
    <w:rsid w:val="006412E6"/>
    <w:rsid w:val="00651D12"/>
    <w:rsid w:val="0067254E"/>
    <w:rsid w:val="006971E4"/>
    <w:rsid w:val="006C0B55"/>
    <w:rsid w:val="006C4FDE"/>
    <w:rsid w:val="007001D0"/>
    <w:rsid w:val="0070217D"/>
    <w:rsid w:val="00713EA3"/>
    <w:rsid w:val="00744896"/>
    <w:rsid w:val="00754CAE"/>
    <w:rsid w:val="00773391"/>
    <w:rsid w:val="0077469A"/>
    <w:rsid w:val="007768CD"/>
    <w:rsid w:val="007771A1"/>
    <w:rsid w:val="0078088B"/>
    <w:rsid w:val="00784D4F"/>
    <w:rsid w:val="00786774"/>
    <w:rsid w:val="007871ED"/>
    <w:rsid w:val="0079443A"/>
    <w:rsid w:val="007A7063"/>
    <w:rsid w:val="007E0FEF"/>
    <w:rsid w:val="007E496B"/>
    <w:rsid w:val="007F3249"/>
    <w:rsid w:val="0080131B"/>
    <w:rsid w:val="00812814"/>
    <w:rsid w:val="0081747B"/>
    <w:rsid w:val="00832068"/>
    <w:rsid w:val="00863068"/>
    <w:rsid w:val="00863FE7"/>
    <w:rsid w:val="0087592D"/>
    <w:rsid w:val="0087777C"/>
    <w:rsid w:val="00891FA8"/>
    <w:rsid w:val="008A3BF7"/>
    <w:rsid w:val="008B3237"/>
    <w:rsid w:val="008B54BA"/>
    <w:rsid w:val="008D1596"/>
    <w:rsid w:val="008D4385"/>
    <w:rsid w:val="008D6C05"/>
    <w:rsid w:val="008F475C"/>
    <w:rsid w:val="00906802"/>
    <w:rsid w:val="009116DC"/>
    <w:rsid w:val="0091431E"/>
    <w:rsid w:val="0091753B"/>
    <w:rsid w:val="009453C3"/>
    <w:rsid w:val="00970437"/>
    <w:rsid w:val="0097278D"/>
    <w:rsid w:val="00973B53"/>
    <w:rsid w:val="0097503E"/>
    <w:rsid w:val="00985DF5"/>
    <w:rsid w:val="00990E63"/>
    <w:rsid w:val="00996944"/>
    <w:rsid w:val="009C7054"/>
    <w:rsid w:val="009C7BC4"/>
    <w:rsid w:val="009D449E"/>
    <w:rsid w:val="009D5A41"/>
    <w:rsid w:val="009F6854"/>
    <w:rsid w:val="00A02F3E"/>
    <w:rsid w:val="00A108C2"/>
    <w:rsid w:val="00A24336"/>
    <w:rsid w:val="00A266BD"/>
    <w:rsid w:val="00A3229F"/>
    <w:rsid w:val="00A36F7C"/>
    <w:rsid w:val="00A37D38"/>
    <w:rsid w:val="00A43212"/>
    <w:rsid w:val="00A44C53"/>
    <w:rsid w:val="00A57799"/>
    <w:rsid w:val="00A6238A"/>
    <w:rsid w:val="00A70991"/>
    <w:rsid w:val="00A853ED"/>
    <w:rsid w:val="00A917E0"/>
    <w:rsid w:val="00AC7DD3"/>
    <w:rsid w:val="00AD302E"/>
    <w:rsid w:val="00AE52DD"/>
    <w:rsid w:val="00AE571D"/>
    <w:rsid w:val="00AE6722"/>
    <w:rsid w:val="00AE6809"/>
    <w:rsid w:val="00B001FF"/>
    <w:rsid w:val="00B065D8"/>
    <w:rsid w:val="00B07092"/>
    <w:rsid w:val="00B07DD5"/>
    <w:rsid w:val="00B11A90"/>
    <w:rsid w:val="00B178CC"/>
    <w:rsid w:val="00B24462"/>
    <w:rsid w:val="00B67504"/>
    <w:rsid w:val="00B7005F"/>
    <w:rsid w:val="00B75C18"/>
    <w:rsid w:val="00B833AF"/>
    <w:rsid w:val="00B837C4"/>
    <w:rsid w:val="00B915E9"/>
    <w:rsid w:val="00BA4394"/>
    <w:rsid w:val="00BA6F47"/>
    <w:rsid w:val="00BA7A4E"/>
    <w:rsid w:val="00BB44E3"/>
    <w:rsid w:val="00BB5505"/>
    <w:rsid w:val="00BD1677"/>
    <w:rsid w:val="00BE36C6"/>
    <w:rsid w:val="00BE6AA4"/>
    <w:rsid w:val="00C277AD"/>
    <w:rsid w:val="00C347BD"/>
    <w:rsid w:val="00C55682"/>
    <w:rsid w:val="00C60FD4"/>
    <w:rsid w:val="00C63057"/>
    <w:rsid w:val="00C72DC1"/>
    <w:rsid w:val="00C7658B"/>
    <w:rsid w:val="00C8087A"/>
    <w:rsid w:val="00C831C6"/>
    <w:rsid w:val="00C842D8"/>
    <w:rsid w:val="00C85AD3"/>
    <w:rsid w:val="00C90A06"/>
    <w:rsid w:val="00C9295D"/>
    <w:rsid w:val="00CA6A11"/>
    <w:rsid w:val="00CA6F44"/>
    <w:rsid w:val="00CB1DD7"/>
    <w:rsid w:val="00CB27BE"/>
    <w:rsid w:val="00CB7C0C"/>
    <w:rsid w:val="00CC13A7"/>
    <w:rsid w:val="00CF67EF"/>
    <w:rsid w:val="00D0039E"/>
    <w:rsid w:val="00D01421"/>
    <w:rsid w:val="00D17134"/>
    <w:rsid w:val="00D17507"/>
    <w:rsid w:val="00D20B56"/>
    <w:rsid w:val="00D231D4"/>
    <w:rsid w:val="00D36B85"/>
    <w:rsid w:val="00D45ADE"/>
    <w:rsid w:val="00D51D13"/>
    <w:rsid w:val="00D533BB"/>
    <w:rsid w:val="00D538B5"/>
    <w:rsid w:val="00D53FE3"/>
    <w:rsid w:val="00D625B8"/>
    <w:rsid w:val="00D63881"/>
    <w:rsid w:val="00D9686E"/>
    <w:rsid w:val="00DA07E7"/>
    <w:rsid w:val="00DA5605"/>
    <w:rsid w:val="00DA58BF"/>
    <w:rsid w:val="00DB41DA"/>
    <w:rsid w:val="00DD1948"/>
    <w:rsid w:val="00DD50BC"/>
    <w:rsid w:val="00DD77BE"/>
    <w:rsid w:val="00E00B43"/>
    <w:rsid w:val="00E175EC"/>
    <w:rsid w:val="00E2739A"/>
    <w:rsid w:val="00E37A9D"/>
    <w:rsid w:val="00E45F67"/>
    <w:rsid w:val="00E6619D"/>
    <w:rsid w:val="00E66E33"/>
    <w:rsid w:val="00E66ED5"/>
    <w:rsid w:val="00E67667"/>
    <w:rsid w:val="00E7551E"/>
    <w:rsid w:val="00E859BA"/>
    <w:rsid w:val="00E871B0"/>
    <w:rsid w:val="00EB43C6"/>
    <w:rsid w:val="00EC4C40"/>
    <w:rsid w:val="00EE1A37"/>
    <w:rsid w:val="00EF4A3B"/>
    <w:rsid w:val="00EF4AD4"/>
    <w:rsid w:val="00F00756"/>
    <w:rsid w:val="00F144D1"/>
    <w:rsid w:val="00F16ABD"/>
    <w:rsid w:val="00F238EC"/>
    <w:rsid w:val="00F250CA"/>
    <w:rsid w:val="00F63309"/>
    <w:rsid w:val="00F745F4"/>
    <w:rsid w:val="00F76138"/>
    <w:rsid w:val="00F80D18"/>
    <w:rsid w:val="00F903A5"/>
    <w:rsid w:val="00F92A06"/>
    <w:rsid w:val="00FB3A81"/>
    <w:rsid w:val="00FC4A9B"/>
    <w:rsid w:val="00FD398D"/>
    <w:rsid w:val="00FD6CBE"/>
    <w:rsid w:val="00FE2699"/>
    <w:rsid w:val="00FE6591"/>
    <w:rsid w:val="00FF3BC7"/>
    <w:rsid w:val="019AD415"/>
    <w:rsid w:val="01A5DBA8"/>
    <w:rsid w:val="032FF8BA"/>
    <w:rsid w:val="039EAF6C"/>
    <w:rsid w:val="03A9D93F"/>
    <w:rsid w:val="03DEDF49"/>
    <w:rsid w:val="04EA5AA1"/>
    <w:rsid w:val="052C31F5"/>
    <w:rsid w:val="0571B7F4"/>
    <w:rsid w:val="05859C31"/>
    <w:rsid w:val="0638F947"/>
    <w:rsid w:val="088C57CD"/>
    <w:rsid w:val="089E8EAE"/>
    <w:rsid w:val="08C7263D"/>
    <w:rsid w:val="08E1CB13"/>
    <w:rsid w:val="0947158E"/>
    <w:rsid w:val="09CC3E88"/>
    <w:rsid w:val="0A992682"/>
    <w:rsid w:val="0AC2FAC2"/>
    <w:rsid w:val="0AC3E418"/>
    <w:rsid w:val="0BD91B5E"/>
    <w:rsid w:val="0BF02FF6"/>
    <w:rsid w:val="0D89CDEC"/>
    <w:rsid w:val="0D9842DC"/>
    <w:rsid w:val="0FB407BA"/>
    <w:rsid w:val="1012F37C"/>
    <w:rsid w:val="11099A04"/>
    <w:rsid w:val="117B5C53"/>
    <w:rsid w:val="1192C0EB"/>
    <w:rsid w:val="12595733"/>
    <w:rsid w:val="136820BC"/>
    <w:rsid w:val="151C212F"/>
    <w:rsid w:val="15CAE0CF"/>
    <w:rsid w:val="163D687F"/>
    <w:rsid w:val="16D958B6"/>
    <w:rsid w:val="171946D8"/>
    <w:rsid w:val="172CED4D"/>
    <w:rsid w:val="17A710BE"/>
    <w:rsid w:val="17AC7184"/>
    <w:rsid w:val="19893A6F"/>
    <w:rsid w:val="198979D0"/>
    <w:rsid w:val="19F31EFB"/>
    <w:rsid w:val="1C17C16E"/>
    <w:rsid w:val="1C63AF6E"/>
    <w:rsid w:val="1CA460B7"/>
    <w:rsid w:val="1CBF688F"/>
    <w:rsid w:val="1D40B3AA"/>
    <w:rsid w:val="1E040F2D"/>
    <w:rsid w:val="1EBBBE5B"/>
    <w:rsid w:val="1EF96A38"/>
    <w:rsid w:val="20798B84"/>
    <w:rsid w:val="20BC83E2"/>
    <w:rsid w:val="21286B2E"/>
    <w:rsid w:val="21973AEC"/>
    <w:rsid w:val="21AC2F1E"/>
    <w:rsid w:val="21B3A35D"/>
    <w:rsid w:val="21C29E90"/>
    <w:rsid w:val="21E73CF8"/>
    <w:rsid w:val="222C50AF"/>
    <w:rsid w:val="22ACF917"/>
    <w:rsid w:val="231E66E4"/>
    <w:rsid w:val="23B6026C"/>
    <w:rsid w:val="23C7BDE3"/>
    <w:rsid w:val="2481949E"/>
    <w:rsid w:val="24EF916E"/>
    <w:rsid w:val="254FE5DD"/>
    <w:rsid w:val="25D4FB99"/>
    <w:rsid w:val="2648E494"/>
    <w:rsid w:val="2680D863"/>
    <w:rsid w:val="2729B06D"/>
    <w:rsid w:val="28252F14"/>
    <w:rsid w:val="28268E3D"/>
    <w:rsid w:val="28E4D517"/>
    <w:rsid w:val="2940AB1D"/>
    <w:rsid w:val="298A8756"/>
    <w:rsid w:val="2A9DD08A"/>
    <w:rsid w:val="2BEA462D"/>
    <w:rsid w:val="2D0BB5BD"/>
    <w:rsid w:val="2D21AC19"/>
    <w:rsid w:val="2DCB8936"/>
    <w:rsid w:val="2EEE1A1A"/>
    <w:rsid w:val="2FE8B008"/>
    <w:rsid w:val="33161768"/>
    <w:rsid w:val="33346AAD"/>
    <w:rsid w:val="3348F562"/>
    <w:rsid w:val="3382ADE6"/>
    <w:rsid w:val="33FDBE3A"/>
    <w:rsid w:val="343FD474"/>
    <w:rsid w:val="34968463"/>
    <w:rsid w:val="355D3319"/>
    <w:rsid w:val="3581D0E7"/>
    <w:rsid w:val="3619D191"/>
    <w:rsid w:val="36AE99D4"/>
    <w:rsid w:val="37124924"/>
    <w:rsid w:val="3716C5D5"/>
    <w:rsid w:val="374668F3"/>
    <w:rsid w:val="37B14613"/>
    <w:rsid w:val="3A254CF4"/>
    <w:rsid w:val="3ABA6EEB"/>
    <w:rsid w:val="3AF17F8C"/>
    <w:rsid w:val="3B0BE4A7"/>
    <w:rsid w:val="3CDDDE4A"/>
    <w:rsid w:val="3D09E61D"/>
    <w:rsid w:val="3D390C90"/>
    <w:rsid w:val="3D931F82"/>
    <w:rsid w:val="3DEF87FE"/>
    <w:rsid w:val="3E7034EB"/>
    <w:rsid w:val="40DF23CB"/>
    <w:rsid w:val="413B4D40"/>
    <w:rsid w:val="415F0F41"/>
    <w:rsid w:val="41EFDF77"/>
    <w:rsid w:val="421750A4"/>
    <w:rsid w:val="42736453"/>
    <w:rsid w:val="4410A1DC"/>
    <w:rsid w:val="44AA2E78"/>
    <w:rsid w:val="44B00FE6"/>
    <w:rsid w:val="44E355D3"/>
    <w:rsid w:val="457D4561"/>
    <w:rsid w:val="466BE181"/>
    <w:rsid w:val="467006FF"/>
    <w:rsid w:val="46CF526B"/>
    <w:rsid w:val="46EAA8DE"/>
    <w:rsid w:val="472B7E0A"/>
    <w:rsid w:val="47AF8E44"/>
    <w:rsid w:val="47D27353"/>
    <w:rsid w:val="48C3F22F"/>
    <w:rsid w:val="48D87E58"/>
    <w:rsid w:val="4A30A49A"/>
    <w:rsid w:val="4B3FB7B3"/>
    <w:rsid w:val="4B7ACED5"/>
    <w:rsid w:val="4C17C2CD"/>
    <w:rsid w:val="4D17D73B"/>
    <w:rsid w:val="4D7973C0"/>
    <w:rsid w:val="4DF33C1C"/>
    <w:rsid w:val="4E2F727B"/>
    <w:rsid w:val="4E6DD50F"/>
    <w:rsid w:val="4EE9B5A0"/>
    <w:rsid w:val="4F17D753"/>
    <w:rsid w:val="4F1E446C"/>
    <w:rsid w:val="4FC180B0"/>
    <w:rsid w:val="4FE526DD"/>
    <w:rsid w:val="5064EDFE"/>
    <w:rsid w:val="5241DEB5"/>
    <w:rsid w:val="52CABBED"/>
    <w:rsid w:val="5311CF06"/>
    <w:rsid w:val="5367F84D"/>
    <w:rsid w:val="53FE9049"/>
    <w:rsid w:val="548D6472"/>
    <w:rsid w:val="55F05E55"/>
    <w:rsid w:val="57B3AD69"/>
    <w:rsid w:val="57EF3823"/>
    <w:rsid w:val="5A2679E7"/>
    <w:rsid w:val="5A59407D"/>
    <w:rsid w:val="5B60E944"/>
    <w:rsid w:val="5BAB2F55"/>
    <w:rsid w:val="5BE389A5"/>
    <w:rsid w:val="5CB0CCE4"/>
    <w:rsid w:val="5DE576F6"/>
    <w:rsid w:val="5E792F6A"/>
    <w:rsid w:val="5EA0A6F4"/>
    <w:rsid w:val="5EE2B051"/>
    <w:rsid w:val="603CB396"/>
    <w:rsid w:val="60F3A418"/>
    <w:rsid w:val="619F6CCE"/>
    <w:rsid w:val="62B517AC"/>
    <w:rsid w:val="634DD55F"/>
    <w:rsid w:val="63CADA14"/>
    <w:rsid w:val="640C6D13"/>
    <w:rsid w:val="6453AC11"/>
    <w:rsid w:val="648933FB"/>
    <w:rsid w:val="65538A0E"/>
    <w:rsid w:val="6555E27A"/>
    <w:rsid w:val="657D959F"/>
    <w:rsid w:val="66069EC5"/>
    <w:rsid w:val="66F550AC"/>
    <w:rsid w:val="66FA5CE7"/>
    <w:rsid w:val="67BB7617"/>
    <w:rsid w:val="688807A3"/>
    <w:rsid w:val="689C19DF"/>
    <w:rsid w:val="68BD65CF"/>
    <w:rsid w:val="693A201C"/>
    <w:rsid w:val="69D93E8E"/>
    <w:rsid w:val="6A57DDAE"/>
    <w:rsid w:val="6B321B91"/>
    <w:rsid w:val="6BCCF710"/>
    <w:rsid w:val="6C2B0238"/>
    <w:rsid w:val="6D298299"/>
    <w:rsid w:val="6D66BA02"/>
    <w:rsid w:val="6D791623"/>
    <w:rsid w:val="6DCB2BCB"/>
    <w:rsid w:val="6ED4F046"/>
    <w:rsid w:val="6EEFB146"/>
    <w:rsid w:val="6F5D1834"/>
    <w:rsid w:val="6FCFFE5B"/>
    <w:rsid w:val="701B3AA3"/>
    <w:rsid w:val="7079F406"/>
    <w:rsid w:val="70D6617F"/>
    <w:rsid w:val="70FB1C34"/>
    <w:rsid w:val="713843CF"/>
    <w:rsid w:val="7299AABF"/>
    <w:rsid w:val="73159535"/>
    <w:rsid w:val="734EB05F"/>
    <w:rsid w:val="73B4077C"/>
    <w:rsid w:val="73D7E7F1"/>
    <w:rsid w:val="75BC5E29"/>
    <w:rsid w:val="75DBECAD"/>
    <w:rsid w:val="76022954"/>
    <w:rsid w:val="76677837"/>
    <w:rsid w:val="779F8A8B"/>
    <w:rsid w:val="79481293"/>
    <w:rsid w:val="7969A906"/>
    <w:rsid w:val="796CEAFE"/>
    <w:rsid w:val="79AF6BE3"/>
    <w:rsid w:val="7A379B7D"/>
    <w:rsid w:val="7A9E7BE2"/>
    <w:rsid w:val="7B984536"/>
    <w:rsid w:val="7C550803"/>
    <w:rsid w:val="7CE306E2"/>
    <w:rsid w:val="7D49FA71"/>
    <w:rsid w:val="7D866AD1"/>
    <w:rsid w:val="7E75267F"/>
    <w:rsid w:val="7E8DBBBA"/>
    <w:rsid w:val="7F184F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D64B"/>
  <w15:chartTrackingRefBased/>
  <w15:docId w15:val="{E4704625-A2D2-4917-B9E4-0AFDE3B9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D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3D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3D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3D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3D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3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D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3D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3D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3D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3D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3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D07"/>
    <w:rPr>
      <w:rFonts w:eastAsiaTheme="majorEastAsia" w:cstheme="majorBidi"/>
      <w:color w:val="272727" w:themeColor="text1" w:themeTint="D8"/>
    </w:rPr>
  </w:style>
  <w:style w:type="paragraph" w:styleId="Title">
    <w:name w:val="Title"/>
    <w:basedOn w:val="Normal"/>
    <w:next w:val="Normal"/>
    <w:link w:val="TitleChar"/>
    <w:uiPriority w:val="10"/>
    <w:qFormat/>
    <w:rsid w:val="00423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D07"/>
    <w:pPr>
      <w:spacing w:before="160"/>
      <w:jc w:val="center"/>
    </w:pPr>
    <w:rPr>
      <w:i/>
      <w:iCs/>
      <w:color w:val="404040" w:themeColor="text1" w:themeTint="BF"/>
    </w:rPr>
  </w:style>
  <w:style w:type="character" w:customStyle="1" w:styleId="QuoteChar">
    <w:name w:val="Quote Char"/>
    <w:basedOn w:val="DefaultParagraphFont"/>
    <w:link w:val="Quote"/>
    <w:uiPriority w:val="29"/>
    <w:rsid w:val="00423D07"/>
    <w:rPr>
      <w:i/>
      <w:iCs/>
      <w:color w:val="404040" w:themeColor="text1" w:themeTint="BF"/>
    </w:rPr>
  </w:style>
  <w:style w:type="paragraph" w:styleId="ListParagraph">
    <w:name w:val="List Paragraph"/>
    <w:basedOn w:val="Normal"/>
    <w:uiPriority w:val="34"/>
    <w:qFormat/>
    <w:rsid w:val="00423D07"/>
    <w:pPr>
      <w:ind w:left="720"/>
      <w:contextualSpacing/>
    </w:pPr>
  </w:style>
  <w:style w:type="character" w:styleId="IntenseEmphasis">
    <w:name w:val="Intense Emphasis"/>
    <w:basedOn w:val="DefaultParagraphFont"/>
    <w:uiPriority w:val="21"/>
    <w:qFormat/>
    <w:rsid w:val="00423D07"/>
    <w:rPr>
      <w:i/>
      <w:iCs/>
      <w:color w:val="2F5496" w:themeColor="accent1" w:themeShade="BF"/>
    </w:rPr>
  </w:style>
  <w:style w:type="paragraph" w:styleId="IntenseQuote">
    <w:name w:val="Intense Quote"/>
    <w:basedOn w:val="Normal"/>
    <w:next w:val="Normal"/>
    <w:link w:val="IntenseQuoteChar"/>
    <w:uiPriority w:val="30"/>
    <w:qFormat/>
    <w:rsid w:val="00423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3D07"/>
    <w:rPr>
      <w:i/>
      <w:iCs/>
      <w:color w:val="2F5496" w:themeColor="accent1" w:themeShade="BF"/>
    </w:rPr>
  </w:style>
  <w:style w:type="character" w:styleId="IntenseReference">
    <w:name w:val="Intense Reference"/>
    <w:basedOn w:val="DefaultParagraphFont"/>
    <w:uiPriority w:val="32"/>
    <w:qFormat/>
    <w:rsid w:val="00423D07"/>
    <w:rPr>
      <w:b/>
      <w:bCs/>
      <w:smallCaps/>
      <w:color w:val="2F5496" w:themeColor="accent1" w:themeShade="BF"/>
      <w:spacing w:val="5"/>
    </w:rPr>
  </w:style>
  <w:style w:type="character" w:styleId="CommentReference">
    <w:name w:val="annotation reference"/>
    <w:basedOn w:val="DefaultParagraphFont"/>
    <w:uiPriority w:val="99"/>
    <w:semiHidden/>
    <w:unhideWhenUsed/>
    <w:rsid w:val="00DD50BC"/>
    <w:rPr>
      <w:sz w:val="16"/>
      <w:szCs w:val="16"/>
    </w:rPr>
  </w:style>
  <w:style w:type="paragraph" w:styleId="CommentText">
    <w:name w:val="annotation text"/>
    <w:basedOn w:val="Normal"/>
    <w:link w:val="CommentTextChar"/>
    <w:uiPriority w:val="99"/>
    <w:unhideWhenUsed/>
    <w:rsid w:val="00DD50B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D50BC"/>
    <w:rPr>
      <w:kern w:val="0"/>
      <w:sz w:val="20"/>
      <w:szCs w:val="20"/>
      <w14:ligatures w14:val="none"/>
    </w:rPr>
  </w:style>
  <w:style w:type="paragraph" w:styleId="FootnoteText">
    <w:name w:val="footnote text"/>
    <w:basedOn w:val="Normal"/>
    <w:link w:val="FootnoteTextChar"/>
    <w:uiPriority w:val="99"/>
    <w:semiHidden/>
    <w:unhideWhenUsed/>
    <w:rsid w:val="00DD50B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D50BC"/>
    <w:rPr>
      <w:kern w:val="0"/>
      <w:sz w:val="20"/>
      <w:szCs w:val="20"/>
      <w14:ligatures w14:val="none"/>
    </w:rPr>
  </w:style>
  <w:style w:type="character" w:styleId="FootnoteReference">
    <w:name w:val="footnote reference"/>
    <w:basedOn w:val="DefaultParagraphFont"/>
    <w:uiPriority w:val="99"/>
    <w:semiHidden/>
    <w:unhideWhenUsed/>
    <w:rsid w:val="00DD50BC"/>
    <w:rPr>
      <w:vertAlign w:val="superscript"/>
    </w:rPr>
  </w:style>
  <w:style w:type="character" w:styleId="Hyperlink">
    <w:name w:val="Hyperlink"/>
    <w:basedOn w:val="DefaultParagraphFont"/>
    <w:uiPriority w:val="99"/>
    <w:unhideWhenUsed/>
    <w:rsid w:val="00DD50B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D50BC"/>
    <w:rPr>
      <w:b/>
      <w:bCs/>
      <w:kern w:val="2"/>
      <w14:ligatures w14:val="standardContextual"/>
    </w:rPr>
  </w:style>
  <w:style w:type="character" w:customStyle="1" w:styleId="CommentSubjectChar">
    <w:name w:val="Comment Subject Char"/>
    <w:basedOn w:val="CommentTextChar"/>
    <w:link w:val="CommentSubject"/>
    <w:uiPriority w:val="99"/>
    <w:semiHidden/>
    <w:rsid w:val="00DD50BC"/>
    <w:rPr>
      <w:b/>
      <w:bCs/>
      <w:kern w:val="0"/>
      <w:sz w:val="20"/>
      <w:szCs w:val="20"/>
      <w14:ligatures w14:val="none"/>
    </w:rPr>
  </w:style>
  <w:style w:type="paragraph" w:styleId="EndnoteText">
    <w:name w:val="endnote text"/>
    <w:basedOn w:val="Normal"/>
    <w:link w:val="EndnoteTextChar"/>
    <w:uiPriority w:val="99"/>
    <w:semiHidden/>
    <w:unhideWhenUsed/>
    <w:rsid w:val="005266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6CD"/>
    <w:rPr>
      <w:sz w:val="20"/>
      <w:szCs w:val="20"/>
    </w:rPr>
  </w:style>
  <w:style w:type="character" w:styleId="EndnoteReference">
    <w:name w:val="endnote reference"/>
    <w:basedOn w:val="DefaultParagraphFont"/>
    <w:uiPriority w:val="99"/>
    <w:semiHidden/>
    <w:unhideWhenUsed/>
    <w:rsid w:val="005266CD"/>
    <w:rPr>
      <w:vertAlign w:val="superscript"/>
    </w:rPr>
  </w:style>
  <w:style w:type="paragraph" w:styleId="NoSpacing">
    <w:name w:val="No Spacing"/>
    <w:uiPriority w:val="1"/>
    <w:qFormat/>
    <w:rsid w:val="005B3BB7"/>
    <w:pPr>
      <w:spacing w:after="0" w:line="240" w:lineRule="auto"/>
    </w:pPr>
    <w:rPr>
      <w:kern w:val="0"/>
      <w:lang w:val="en-GB"/>
      <w14:ligatures w14:val="none"/>
    </w:rPr>
  </w:style>
  <w:style w:type="paragraph" w:styleId="Revision">
    <w:name w:val="Revision"/>
    <w:hidden/>
    <w:uiPriority w:val="99"/>
    <w:semiHidden/>
    <w:rsid w:val="003E4957"/>
    <w:pPr>
      <w:spacing w:after="0" w:line="240" w:lineRule="auto"/>
    </w:pPr>
  </w:style>
  <w:style w:type="paragraph" w:styleId="Header">
    <w:name w:val="header"/>
    <w:basedOn w:val="Normal"/>
    <w:link w:val="HeaderChar"/>
    <w:uiPriority w:val="99"/>
    <w:semiHidden/>
    <w:unhideWhenUsed/>
    <w:rsid w:val="003E4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957"/>
  </w:style>
  <w:style w:type="paragraph" w:styleId="Footer">
    <w:name w:val="footer"/>
    <w:basedOn w:val="Normal"/>
    <w:link w:val="FooterChar"/>
    <w:uiPriority w:val="99"/>
    <w:semiHidden/>
    <w:unhideWhenUsed/>
    <w:rsid w:val="003E49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4957"/>
  </w:style>
  <w:style w:type="character" w:styleId="FollowedHyperlink">
    <w:name w:val="FollowedHyperlink"/>
    <w:basedOn w:val="DefaultParagraphFont"/>
    <w:uiPriority w:val="99"/>
    <w:semiHidden/>
    <w:unhideWhenUsed/>
    <w:rsid w:val="00543EDB"/>
    <w:rPr>
      <w:color w:val="954F72" w:themeColor="followedHyperlink"/>
      <w:u w:val="single"/>
    </w:rPr>
  </w:style>
  <w:style w:type="character" w:styleId="UnresolvedMention">
    <w:name w:val="Unresolved Mention"/>
    <w:basedOn w:val="DefaultParagraphFont"/>
    <w:uiPriority w:val="99"/>
    <w:semiHidden/>
    <w:unhideWhenUsed/>
    <w:rsid w:val="001C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um.dk/en/danida/results/eval/eval_reports/study-on-danish-support-to-informally" TargetMode="External"/><Relationship Id="rId13" Type="http://schemas.openxmlformats.org/officeDocument/2006/relationships/hyperlink" Target="https://www.oecd.org/en/topics/sub-issues/oda-eligibility-and-conditions/dac-list-of-oda-recipients.html" TargetMode="External"/><Relationship Id="rId3" Type="http://schemas.openxmlformats.org/officeDocument/2006/relationships/hyperlink" Target="https://eba.se/rapporter/effekter-av-svenskt-och-internationellt-demokratibistand/12550/" TargetMode="External"/><Relationship Id="rId7" Type="http://schemas.openxmlformats.org/officeDocument/2006/relationships/hyperlink" Target="https://europeandemocracyhub.epd.eu/a-new-wave-of-repression-on-civic-space/" TargetMode="External"/><Relationship Id="rId12" Type="http://schemas.openxmlformats.org/officeDocument/2006/relationships/hyperlink" Target="https://monitor.civicus.org/globalfindings/" TargetMode="External"/><Relationship Id="rId2" Type="http://schemas.openxmlformats.org/officeDocument/2006/relationships/hyperlink" Target="https://www.norad.no/contentassets/396cdc788c09405490a96adce80ac040/norads-support-to-civil-society-guiding-principles.pdf" TargetMode="External"/><Relationship Id="rId1" Type="http://schemas.openxmlformats.org/officeDocument/2006/relationships/hyperlink" Target="https://www.oecd.org/en/topics/sub-issues/open-government-and-citizen-participation/civic-space.html" TargetMode="External"/><Relationship Id="rId6" Type="http://schemas.openxmlformats.org/officeDocument/2006/relationships/hyperlink" Target="https://pages.eiu.com/rs/753-RIQ-438/images/DI-final-version-report.pdf?mkt_tok=NzUzLVJJUS00MzgAAAGKO5hDKqC-tynVk0400lk_f3gvFB8dqBggJ0t50zWtQiwaqU6Q169ylDZusO6oetYSdzX8bOl54ztW_dasPqUvT3xC4lj4y8SUU3ygvdzj_PMqDg" TargetMode="External"/><Relationship Id="rId11" Type="http://schemas.openxmlformats.org/officeDocument/2006/relationships/hyperlink" Target="https://www.civicus.org/" TargetMode="External"/><Relationship Id="rId5" Type="http://schemas.openxmlformats.org/officeDocument/2006/relationships/hyperlink" Target="https://freedomhouse.org/sites/default/files/2023-03/FIW_World_2023_DigtalPDF.pdf" TargetMode="External"/><Relationship Id="rId10" Type="http://schemas.openxmlformats.org/officeDocument/2006/relationships/hyperlink" Target="https://www.wfd.org/what-we-do/resources/addressing-global-emergency-shrinking-civic-space-and-how-reclaim-it" TargetMode="External"/><Relationship Id="rId4" Type="http://schemas.openxmlformats.org/officeDocument/2006/relationships/hyperlink" Target="https://www.v-dem.net/" TargetMode="External"/><Relationship Id="rId9" Type="http://schemas.openxmlformats.org/officeDocument/2006/relationships/hyperlink" Target="https://www.icnl.org/wp-content/uploads/our-work_Africa-Regional-Workshop-on-Protecting-Civic-Space---Final-Report.pdf" TargetMode="External"/><Relationship Id="rId14" Type="http://schemas.openxmlformats.org/officeDocument/2006/relationships/hyperlink" Target="https://www.norad.no/contentassets/396cdc788c09405490a96adce80ac040/norads-support-to-civil-society-guiding-principle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12BB10-9F84-40A1-A2B6-40869607D07E}" type="doc">
      <dgm:prSet loTypeId="urn:microsoft.com/office/officeart/2005/8/layout/pyramid1" loCatId="pyramid" qsTypeId="urn:microsoft.com/office/officeart/2005/8/quickstyle/simple1" qsCatId="simple" csTypeId="urn:microsoft.com/office/officeart/2005/8/colors/accent1_2" csCatId="accent1" phldr="1"/>
      <dgm:spPr/>
    </dgm:pt>
    <dgm:pt modelId="{7460FAAD-6F71-404A-A6AD-E4ED933C1D81}">
      <dgm:prSet phldrT="[Text]" custT="1"/>
      <dgm:spPr>
        <a:solidFill>
          <a:schemeClr val="accent2">
            <a:lumMod val="60000"/>
            <a:lumOff val="40000"/>
          </a:schemeClr>
        </a:solidFill>
      </dgm:spPr>
      <dgm:t>
        <a:bodyPr/>
        <a:lstStyle/>
        <a:p>
          <a:endParaRPr lang="nb-NO" sz="1100"/>
        </a:p>
        <a:p>
          <a:endParaRPr lang="nb-NO" sz="900"/>
        </a:p>
        <a:p>
          <a:endParaRPr lang="nb-NO" sz="900"/>
        </a:p>
        <a:p>
          <a:endParaRPr lang="nb-NO" sz="900"/>
        </a:p>
        <a:p>
          <a:r>
            <a:rPr lang="nb-NO" sz="800"/>
            <a:t>C</a:t>
          </a:r>
          <a:r>
            <a:rPr lang="en-US" sz="800"/>
            <a:t>onnecting global and local processes </a:t>
          </a:r>
          <a:endParaRPr lang="nb-NO" sz="800"/>
        </a:p>
        <a:p>
          <a:endParaRPr lang="nb-NO" sz="900"/>
        </a:p>
      </dgm:t>
    </dgm:pt>
    <dgm:pt modelId="{E5161BB0-B7C1-4BAD-A921-7D843D821824}" type="parTrans" cxnId="{0E558342-6BE0-4D74-8101-522FC68387A5}">
      <dgm:prSet/>
      <dgm:spPr/>
      <dgm:t>
        <a:bodyPr/>
        <a:lstStyle/>
        <a:p>
          <a:endParaRPr lang="nb-NO"/>
        </a:p>
      </dgm:t>
    </dgm:pt>
    <dgm:pt modelId="{FE227B5F-2942-4C2C-8894-E6AA52D4F2F3}" type="sibTrans" cxnId="{0E558342-6BE0-4D74-8101-522FC68387A5}">
      <dgm:prSet/>
      <dgm:spPr/>
      <dgm:t>
        <a:bodyPr/>
        <a:lstStyle/>
        <a:p>
          <a:endParaRPr lang="nb-NO"/>
        </a:p>
      </dgm:t>
    </dgm:pt>
    <dgm:pt modelId="{97DFC3A3-B3FB-4A5B-9EBA-AF6700EBEB7A}">
      <dgm:prSet phldrT="[Text]" custT="1"/>
      <dgm:spPr>
        <a:solidFill>
          <a:schemeClr val="accent6">
            <a:lumMod val="75000"/>
          </a:schemeClr>
        </a:solidFill>
      </dgm:spPr>
      <dgm:t>
        <a:bodyPr/>
        <a:lstStyle/>
        <a:p>
          <a:r>
            <a:rPr lang="nb-NO" sz="900"/>
            <a:t>Agreements where civic space and strengthening civil society is a main objective</a:t>
          </a:r>
        </a:p>
      </dgm:t>
    </dgm:pt>
    <dgm:pt modelId="{A35825A4-F624-4616-A68E-BD2E0BDAD96A}" type="parTrans" cxnId="{AFECA647-4028-4F0B-AD01-EAF02A0FB7A4}">
      <dgm:prSet/>
      <dgm:spPr/>
      <dgm:t>
        <a:bodyPr/>
        <a:lstStyle/>
        <a:p>
          <a:endParaRPr lang="nb-NO"/>
        </a:p>
      </dgm:t>
    </dgm:pt>
    <dgm:pt modelId="{47E06635-3097-485E-8268-48B2DD944DE5}" type="sibTrans" cxnId="{AFECA647-4028-4F0B-AD01-EAF02A0FB7A4}">
      <dgm:prSet/>
      <dgm:spPr/>
      <dgm:t>
        <a:bodyPr/>
        <a:lstStyle/>
        <a:p>
          <a:endParaRPr lang="nb-NO"/>
        </a:p>
      </dgm:t>
    </dgm:pt>
    <dgm:pt modelId="{881CD74A-4013-4BAA-81CD-3CCB4645A14A}">
      <dgm:prSet phldrT="[Text]" custT="1"/>
      <dgm:spPr>
        <a:solidFill>
          <a:srgbClr val="FFC000"/>
        </a:solidFill>
      </dgm:spPr>
      <dgm:t>
        <a:bodyPr/>
        <a:lstStyle/>
        <a:p>
          <a:r>
            <a:rPr lang="nb-NO" sz="900"/>
            <a:t>Agreements with CSOs that have another thematic focus (and thus mainly belong in another portfolio), but where strengthening of civil society in ODA countries are integrated as an important component</a:t>
          </a:r>
        </a:p>
      </dgm:t>
    </dgm:pt>
    <dgm:pt modelId="{E0A50353-B10A-49A4-802B-04D018E5E9D0}" type="parTrans" cxnId="{C3DFBA36-639E-4FF7-A0BC-15FECB3B8486}">
      <dgm:prSet/>
      <dgm:spPr/>
      <dgm:t>
        <a:bodyPr/>
        <a:lstStyle/>
        <a:p>
          <a:endParaRPr lang="nb-NO"/>
        </a:p>
      </dgm:t>
    </dgm:pt>
    <dgm:pt modelId="{A8161922-9421-421D-A009-2D35E06CD2D7}" type="sibTrans" cxnId="{C3DFBA36-639E-4FF7-A0BC-15FECB3B8486}">
      <dgm:prSet/>
      <dgm:spPr/>
      <dgm:t>
        <a:bodyPr/>
        <a:lstStyle/>
        <a:p>
          <a:endParaRPr lang="nb-NO"/>
        </a:p>
      </dgm:t>
    </dgm:pt>
    <dgm:pt modelId="{E20EDB00-5DC1-4BF5-AFBD-BDD2A035B8AA}" type="pres">
      <dgm:prSet presAssocID="{0112BB10-9F84-40A1-A2B6-40869607D07E}" presName="Name0" presStyleCnt="0">
        <dgm:presLayoutVars>
          <dgm:dir/>
          <dgm:animLvl val="lvl"/>
          <dgm:resizeHandles val="exact"/>
        </dgm:presLayoutVars>
      </dgm:prSet>
      <dgm:spPr/>
    </dgm:pt>
    <dgm:pt modelId="{A120BFDF-3E7C-48C2-9224-663B99BA452B}" type="pres">
      <dgm:prSet presAssocID="{7460FAAD-6F71-404A-A6AD-E4ED933C1D81}" presName="Name8" presStyleCnt="0"/>
      <dgm:spPr/>
    </dgm:pt>
    <dgm:pt modelId="{991A25C6-28DF-4FF0-86EB-F4B78AD2F971}" type="pres">
      <dgm:prSet presAssocID="{7460FAAD-6F71-404A-A6AD-E4ED933C1D81}" presName="level" presStyleLbl="node1" presStyleIdx="0" presStyleCnt="3">
        <dgm:presLayoutVars>
          <dgm:chMax val="1"/>
          <dgm:bulletEnabled val="1"/>
        </dgm:presLayoutVars>
      </dgm:prSet>
      <dgm:spPr/>
    </dgm:pt>
    <dgm:pt modelId="{92A560C0-D56D-47B7-9141-ABBD5FBAB279}" type="pres">
      <dgm:prSet presAssocID="{7460FAAD-6F71-404A-A6AD-E4ED933C1D81}" presName="levelTx" presStyleLbl="revTx" presStyleIdx="0" presStyleCnt="0">
        <dgm:presLayoutVars>
          <dgm:chMax val="1"/>
          <dgm:bulletEnabled val="1"/>
        </dgm:presLayoutVars>
      </dgm:prSet>
      <dgm:spPr/>
    </dgm:pt>
    <dgm:pt modelId="{D6516F6C-BD86-4820-A4C8-DE131B9D5EE6}" type="pres">
      <dgm:prSet presAssocID="{97DFC3A3-B3FB-4A5B-9EBA-AF6700EBEB7A}" presName="Name8" presStyleCnt="0"/>
      <dgm:spPr/>
    </dgm:pt>
    <dgm:pt modelId="{98F6EF25-4703-41B9-85B3-45CAA002405D}" type="pres">
      <dgm:prSet presAssocID="{97DFC3A3-B3FB-4A5B-9EBA-AF6700EBEB7A}" presName="level" presStyleLbl="node1" presStyleIdx="1" presStyleCnt="3">
        <dgm:presLayoutVars>
          <dgm:chMax val="1"/>
          <dgm:bulletEnabled val="1"/>
        </dgm:presLayoutVars>
      </dgm:prSet>
      <dgm:spPr/>
    </dgm:pt>
    <dgm:pt modelId="{26EC626E-14B5-4FAE-92B7-31722767AF8F}" type="pres">
      <dgm:prSet presAssocID="{97DFC3A3-B3FB-4A5B-9EBA-AF6700EBEB7A}" presName="levelTx" presStyleLbl="revTx" presStyleIdx="0" presStyleCnt="0">
        <dgm:presLayoutVars>
          <dgm:chMax val="1"/>
          <dgm:bulletEnabled val="1"/>
        </dgm:presLayoutVars>
      </dgm:prSet>
      <dgm:spPr/>
    </dgm:pt>
    <dgm:pt modelId="{23EFB0B0-9597-461F-8318-E077B2F293E3}" type="pres">
      <dgm:prSet presAssocID="{881CD74A-4013-4BAA-81CD-3CCB4645A14A}" presName="Name8" presStyleCnt="0"/>
      <dgm:spPr/>
    </dgm:pt>
    <dgm:pt modelId="{F6C6B933-94D6-424C-A0B2-2DA08EB9D4CD}" type="pres">
      <dgm:prSet presAssocID="{881CD74A-4013-4BAA-81CD-3CCB4645A14A}" presName="level" presStyleLbl="node1" presStyleIdx="2" presStyleCnt="3" custLinFactNeighborX="-521" custLinFactNeighborY="1202">
        <dgm:presLayoutVars>
          <dgm:chMax val="1"/>
          <dgm:bulletEnabled val="1"/>
        </dgm:presLayoutVars>
      </dgm:prSet>
      <dgm:spPr/>
    </dgm:pt>
    <dgm:pt modelId="{232C5AAC-583D-4137-BC80-A8D14BBCE235}" type="pres">
      <dgm:prSet presAssocID="{881CD74A-4013-4BAA-81CD-3CCB4645A14A}" presName="levelTx" presStyleLbl="revTx" presStyleIdx="0" presStyleCnt="0">
        <dgm:presLayoutVars>
          <dgm:chMax val="1"/>
          <dgm:bulletEnabled val="1"/>
        </dgm:presLayoutVars>
      </dgm:prSet>
      <dgm:spPr/>
    </dgm:pt>
  </dgm:ptLst>
  <dgm:cxnLst>
    <dgm:cxn modelId="{C3DFBA36-639E-4FF7-A0BC-15FECB3B8486}" srcId="{0112BB10-9F84-40A1-A2B6-40869607D07E}" destId="{881CD74A-4013-4BAA-81CD-3CCB4645A14A}" srcOrd="2" destOrd="0" parTransId="{E0A50353-B10A-49A4-802B-04D018E5E9D0}" sibTransId="{A8161922-9421-421D-A009-2D35E06CD2D7}"/>
    <dgm:cxn modelId="{0E558342-6BE0-4D74-8101-522FC68387A5}" srcId="{0112BB10-9F84-40A1-A2B6-40869607D07E}" destId="{7460FAAD-6F71-404A-A6AD-E4ED933C1D81}" srcOrd="0" destOrd="0" parTransId="{E5161BB0-B7C1-4BAD-A921-7D843D821824}" sibTransId="{FE227B5F-2942-4C2C-8894-E6AA52D4F2F3}"/>
    <dgm:cxn modelId="{8015C142-8C69-4269-8ADF-716C6A2CF396}" type="presOf" srcId="{0112BB10-9F84-40A1-A2B6-40869607D07E}" destId="{E20EDB00-5DC1-4BF5-AFBD-BDD2A035B8AA}" srcOrd="0" destOrd="0" presId="urn:microsoft.com/office/officeart/2005/8/layout/pyramid1"/>
    <dgm:cxn modelId="{AFECA647-4028-4F0B-AD01-EAF02A0FB7A4}" srcId="{0112BB10-9F84-40A1-A2B6-40869607D07E}" destId="{97DFC3A3-B3FB-4A5B-9EBA-AF6700EBEB7A}" srcOrd="1" destOrd="0" parTransId="{A35825A4-F624-4616-A68E-BD2E0BDAD96A}" sibTransId="{47E06635-3097-485E-8268-48B2DD944DE5}"/>
    <dgm:cxn modelId="{836CAC69-0CCA-4325-A325-8A39715AE7D1}" type="presOf" srcId="{7460FAAD-6F71-404A-A6AD-E4ED933C1D81}" destId="{991A25C6-28DF-4FF0-86EB-F4B78AD2F971}" srcOrd="0" destOrd="0" presId="urn:microsoft.com/office/officeart/2005/8/layout/pyramid1"/>
    <dgm:cxn modelId="{3C70646C-0243-4D94-86FF-7806A365B4EC}" type="presOf" srcId="{97DFC3A3-B3FB-4A5B-9EBA-AF6700EBEB7A}" destId="{26EC626E-14B5-4FAE-92B7-31722767AF8F}" srcOrd="1" destOrd="0" presId="urn:microsoft.com/office/officeart/2005/8/layout/pyramid1"/>
    <dgm:cxn modelId="{20104171-D39C-4E13-8E20-D113DE201EAD}" type="presOf" srcId="{7460FAAD-6F71-404A-A6AD-E4ED933C1D81}" destId="{92A560C0-D56D-47B7-9141-ABBD5FBAB279}" srcOrd="1" destOrd="0" presId="urn:microsoft.com/office/officeart/2005/8/layout/pyramid1"/>
    <dgm:cxn modelId="{AA2FD575-6574-4609-AA08-8F7A5602E38C}" type="presOf" srcId="{881CD74A-4013-4BAA-81CD-3CCB4645A14A}" destId="{F6C6B933-94D6-424C-A0B2-2DA08EB9D4CD}" srcOrd="0" destOrd="0" presId="urn:microsoft.com/office/officeart/2005/8/layout/pyramid1"/>
    <dgm:cxn modelId="{9FF3FC87-9E5D-49C7-B197-270DBE99A7FD}" type="presOf" srcId="{97DFC3A3-B3FB-4A5B-9EBA-AF6700EBEB7A}" destId="{98F6EF25-4703-41B9-85B3-45CAA002405D}" srcOrd="0" destOrd="0" presId="urn:microsoft.com/office/officeart/2005/8/layout/pyramid1"/>
    <dgm:cxn modelId="{4BA29BFB-4651-4173-8F09-ECF79D5122EA}" type="presOf" srcId="{881CD74A-4013-4BAA-81CD-3CCB4645A14A}" destId="{232C5AAC-583D-4137-BC80-A8D14BBCE235}" srcOrd="1" destOrd="0" presId="urn:microsoft.com/office/officeart/2005/8/layout/pyramid1"/>
    <dgm:cxn modelId="{C4D983AF-4538-4A35-B27F-F0C77608399B}" type="presParOf" srcId="{E20EDB00-5DC1-4BF5-AFBD-BDD2A035B8AA}" destId="{A120BFDF-3E7C-48C2-9224-663B99BA452B}" srcOrd="0" destOrd="0" presId="urn:microsoft.com/office/officeart/2005/8/layout/pyramid1"/>
    <dgm:cxn modelId="{E920BC79-C393-414C-B425-4CE5B64152F7}" type="presParOf" srcId="{A120BFDF-3E7C-48C2-9224-663B99BA452B}" destId="{991A25C6-28DF-4FF0-86EB-F4B78AD2F971}" srcOrd="0" destOrd="0" presId="urn:microsoft.com/office/officeart/2005/8/layout/pyramid1"/>
    <dgm:cxn modelId="{509E490B-9DB4-4545-9DCF-58ECDCF1A035}" type="presParOf" srcId="{A120BFDF-3E7C-48C2-9224-663B99BA452B}" destId="{92A560C0-D56D-47B7-9141-ABBD5FBAB279}" srcOrd="1" destOrd="0" presId="urn:microsoft.com/office/officeart/2005/8/layout/pyramid1"/>
    <dgm:cxn modelId="{DB781F47-D011-4456-B6D6-CE6EDC43088B}" type="presParOf" srcId="{E20EDB00-5DC1-4BF5-AFBD-BDD2A035B8AA}" destId="{D6516F6C-BD86-4820-A4C8-DE131B9D5EE6}" srcOrd="1" destOrd="0" presId="urn:microsoft.com/office/officeart/2005/8/layout/pyramid1"/>
    <dgm:cxn modelId="{53BBE451-4C15-429E-BA14-085232B3716D}" type="presParOf" srcId="{D6516F6C-BD86-4820-A4C8-DE131B9D5EE6}" destId="{98F6EF25-4703-41B9-85B3-45CAA002405D}" srcOrd="0" destOrd="0" presId="urn:microsoft.com/office/officeart/2005/8/layout/pyramid1"/>
    <dgm:cxn modelId="{912CF2B1-0AE7-449A-810F-096DD6CC8A89}" type="presParOf" srcId="{D6516F6C-BD86-4820-A4C8-DE131B9D5EE6}" destId="{26EC626E-14B5-4FAE-92B7-31722767AF8F}" srcOrd="1" destOrd="0" presId="urn:microsoft.com/office/officeart/2005/8/layout/pyramid1"/>
    <dgm:cxn modelId="{09CE68EB-84F5-49CE-B4F0-6E235121156A}" type="presParOf" srcId="{E20EDB00-5DC1-4BF5-AFBD-BDD2A035B8AA}" destId="{23EFB0B0-9597-461F-8318-E077B2F293E3}" srcOrd="2" destOrd="0" presId="urn:microsoft.com/office/officeart/2005/8/layout/pyramid1"/>
    <dgm:cxn modelId="{698515C0-06E3-470A-AED8-B825E4103C11}" type="presParOf" srcId="{23EFB0B0-9597-461F-8318-E077B2F293E3}" destId="{F6C6B933-94D6-424C-A0B2-2DA08EB9D4CD}" srcOrd="0" destOrd="0" presId="urn:microsoft.com/office/officeart/2005/8/layout/pyramid1"/>
    <dgm:cxn modelId="{29274BA7-6B60-4ED3-8D02-2FC68C66D41E}" type="presParOf" srcId="{23EFB0B0-9597-461F-8318-E077B2F293E3}" destId="{232C5AAC-583D-4137-BC80-A8D14BBCE235}"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A25C6-28DF-4FF0-86EB-F4B78AD2F971}">
      <dsp:nvSpPr>
        <dsp:cNvPr id="0" name=""/>
        <dsp:cNvSpPr/>
      </dsp:nvSpPr>
      <dsp:spPr>
        <a:xfrm>
          <a:off x="712470" y="0"/>
          <a:ext cx="712469" cy="982556"/>
        </a:xfrm>
        <a:prstGeom prst="trapezoid">
          <a:avLst>
            <a:gd name="adj" fmla="val 5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nb-NO" sz="1100" kern="1200"/>
        </a:p>
        <a:p>
          <a:pPr marL="0" lvl="0" indent="0" algn="ctr" defTabSz="488950">
            <a:lnSpc>
              <a:spcPct val="90000"/>
            </a:lnSpc>
            <a:spcBef>
              <a:spcPct val="0"/>
            </a:spcBef>
            <a:spcAft>
              <a:spcPct val="35000"/>
            </a:spcAft>
            <a:buNone/>
          </a:pPr>
          <a:endParaRPr lang="nb-NO" sz="900" kern="1200"/>
        </a:p>
        <a:p>
          <a:pPr marL="0" lvl="0" indent="0" algn="ctr" defTabSz="488950">
            <a:lnSpc>
              <a:spcPct val="90000"/>
            </a:lnSpc>
            <a:spcBef>
              <a:spcPct val="0"/>
            </a:spcBef>
            <a:spcAft>
              <a:spcPct val="35000"/>
            </a:spcAft>
            <a:buNone/>
          </a:pPr>
          <a:endParaRPr lang="nb-NO" sz="900" kern="1200"/>
        </a:p>
        <a:p>
          <a:pPr marL="0" lvl="0" indent="0" algn="ctr" defTabSz="488950">
            <a:lnSpc>
              <a:spcPct val="90000"/>
            </a:lnSpc>
            <a:spcBef>
              <a:spcPct val="0"/>
            </a:spcBef>
            <a:spcAft>
              <a:spcPct val="35000"/>
            </a:spcAft>
            <a:buNone/>
          </a:pPr>
          <a:endParaRPr lang="nb-NO" sz="900" kern="1200"/>
        </a:p>
        <a:p>
          <a:pPr marL="0" lvl="0" indent="0" algn="ctr" defTabSz="488950">
            <a:lnSpc>
              <a:spcPct val="90000"/>
            </a:lnSpc>
            <a:spcBef>
              <a:spcPct val="0"/>
            </a:spcBef>
            <a:spcAft>
              <a:spcPct val="35000"/>
            </a:spcAft>
            <a:buNone/>
          </a:pPr>
          <a:r>
            <a:rPr lang="nb-NO" sz="800" kern="1200"/>
            <a:t>C</a:t>
          </a:r>
          <a:r>
            <a:rPr lang="en-US" sz="800" kern="1200"/>
            <a:t>onnecting global and local processes </a:t>
          </a:r>
          <a:endParaRPr lang="nb-NO" sz="800" kern="1200"/>
        </a:p>
        <a:p>
          <a:pPr marL="0" lvl="0" indent="0" algn="ctr" defTabSz="488950">
            <a:lnSpc>
              <a:spcPct val="90000"/>
            </a:lnSpc>
            <a:spcBef>
              <a:spcPct val="0"/>
            </a:spcBef>
            <a:spcAft>
              <a:spcPct val="35000"/>
            </a:spcAft>
            <a:buNone/>
          </a:pPr>
          <a:endParaRPr lang="nb-NO" sz="900" kern="1200"/>
        </a:p>
      </dsp:txBody>
      <dsp:txXfrm>
        <a:off x="712470" y="0"/>
        <a:ext cx="712469" cy="982556"/>
      </dsp:txXfrm>
    </dsp:sp>
    <dsp:sp modelId="{98F6EF25-4703-41B9-85B3-45CAA002405D}">
      <dsp:nvSpPr>
        <dsp:cNvPr id="0" name=""/>
        <dsp:cNvSpPr/>
      </dsp:nvSpPr>
      <dsp:spPr>
        <a:xfrm>
          <a:off x="356235" y="982556"/>
          <a:ext cx="1424939" cy="982556"/>
        </a:xfrm>
        <a:prstGeom prst="trapezoid">
          <a:avLst>
            <a:gd name="adj" fmla="val 36256"/>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t>Agreements where civic space and strengthening civil society is a main objective</a:t>
          </a:r>
        </a:p>
      </dsp:txBody>
      <dsp:txXfrm>
        <a:off x="605599" y="982556"/>
        <a:ext cx="926211" cy="982556"/>
      </dsp:txXfrm>
    </dsp:sp>
    <dsp:sp modelId="{F6C6B933-94D6-424C-A0B2-2DA08EB9D4CD}">
      <dsp:nvSpPr>
        <dsp:cNvPr id="0" name=""/>
        <dsp:cNvSpPr/>
      </dsp:nvSpPr>
      <dsp:spPr>
        <a:xfrm>
          <a:off x="0" y="1965113"/>
          <a:ext cx="2137410" cy="982556"/>
        </a:xfrm>
        <a:prstGeom prst="trapezoid">
          <a:avLst>
            <a:gd name="adj" fmla="val 36256"/>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b-NO" sz="900" kern="1200"/>
            <a:t>Agreements with CSOs that have another thematic focus (and thus mainly belong in another portfolio), but where strengthening of civil society in ODA countries are integrated as an important component</a:t>
          </a:r>
        </a:p>
      </dsp:txBody>
      <dsp:txXfrm>
        <a:off x="374046" y="1965113"/>
        <a:ext cx="1389316" cy="9825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9a6c7e-41b2-4776-937e-aeb8f0fb1c7a">
      <Terms xmlns="http://schemas.microsoft.com/office/infopath/2007/PartnerControls"/>
    </lcf76f155ced4ddcb4097134ff3c332f>
    <TaxCatchAll xmlns="7eb02002-6de2-46ed-b060-1217092107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5156D9A3619E4199C8B1565C2AA196" ma:contentTypeVersion="5" ma:contentTypeDescription="Opprett et nytt dokument." ma:contentTypeScope="" ma:versionID="a12c5056b7f992c7e82b42dd5eb8733e">
  <xsd:schema xmlns:xsd="http://www.w3.org/2001/XMLSchema" xmlns:xs="http://www.w3.org/2001/XMLSchema" xmlns:p="http://schemas.microsoft.com/office/2006/metadata/properties" xmlns:ns2="6de1254c-4246-4fb5-ba30-c56835a7bf48" xmlns:ns3="0a0e3947-1e71-4d7c-8db9-057f4b04e435" xmlns:ns4="3f9a6c7e-41b2-4776-937e-aeb8f0fb1c7a" xmlns:ns5="7eb02002-6de2-46ed-b060-121709210750" targetNamespace="http://schemas.microsoft.com/office/2006/metadata/properties" ma:root="true" ma:fieldsID="98aa64ba3e3320652be63e9928637334" ns2:_="" ns3:_="" ns4:_="" ns5:_="">
    <xsd:import namespace="6de1254c-4246-4fb5-ba30-c56835a7bf48"/>
    <xsd:import namespace="0a0e3947-1e71-4d7c-8db9-057f4b04e435"/>
    <xsd:import namespace="3f9a6c7e-41b2-4776-937e-aeb8f0fb1c7a"/>
    <xsd:import namespace="7eb02002-6de2-46ed-b060-121709210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254c-4246-4fb5-ba30-c56835a7b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3947-1e71-4d7c-8db9-057f4b04e4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a6c7e-41b2-4776-937e-aeb8f0fb1c7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613e87f7-f6bd-424e-a36d-b4e432f21039" ma:termSetId="09814cd3-568e-fe90-9814-8d621ff8fb84" ma:anchorId="fba54fb3-c3e1-fe81-a776-ca4b69148c4d" ma:open="true" ma:isKeyword="false">
      <xsd:complexType>
        <xsd:sequence>
          <xsd:element ref="pc:Terms" minOccurs="0" maxOccurs="1"/>
        </xsd:sequence>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02002-6de2-46ed-b060-12170921075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f207f0-8edc-42d5-9efd-e2c6b1edd8a6}" ma:internalName="TaxCatchAll" ma:showField="CatchAllData" ma:web="7eb02002-6de2-46ed-b060-121709210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70605-E11B-433F-9C01-DFBF364292C8}">
  <ds:schemaRefs>
    <ds:schemaRef ds:uri="http://schemas.microsoft.com/sharepoint/v3/contenttype/forms"/>
  </ds:schemaRefs>
</ds:datastoreItem>
</file>

<file path=customXml/itemProps2.xml><?xml version="1.0" encoding="utf-8"?>
<ds:datastoreItem xmlns:ds="http://schemas.openxmlformats.org/officeDocument/2006/customXml" ds:itemID="{D2527BD4-DAA8-40D6-9DC5-1EFE9D4EC7E5}">
  <ds:schemaRefs>
    <ds:schemaRef ds:uri="http://schemas.microsoft.com/office/2006/metadata/properties"/>
    <ds:schemaRef ds:uri="http://schemas.microsoft.com/office/infopath/2007/PartnerControls"/>
    <ds:schemaRef ds:uri="3f9a6c7e-41b2-4776-937e-aeb8f0fb1c7a"/>
    <ds:schemaRef ds:uri="7eb02002-6de2-46ed-b060-121709210750"/>
  </ds:schemaRefs>
</ds:datastoreItem>
</file>

<file path=customXml/itemProps3.xml><?xml version="1.0" encoding="utf-8"?>
<ds:datastoreItem xmlns:ds="http://schemas.openxmlformats.org/officeDocument/2006/customXml" ds:itemID="{0BAB1821-FAC8-412A-B60D-4CEC733BAF8C}">
  <ds:schemaRefs>
    <ds:schemaRef ds:uri="http://schemas.openxmlformats.org/officeDocument/2006/bibliography"/>
  </ds:schemaRefs>
</ds:datastoreItem>
</file>

<file path=customXml/itemProps4.xml><?xml version="1.0" encoding="utf-8"?>
<ds:datastoreItem xmlns:ds="http://schemas.openxmlformats.org/officeDocument/2006/customXml" ds:itemID="{BC8A9F9B-476F-435E-B202-996F4BC98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254c-4246-4fb5-ba30-c56835a7bf48"/>
    <ds:schemaRef ds:uri="0a0e3947-1e71-4d7c-8db9-057f4b04e435"/>
    <ds:schemaRef ds:uri="3f9a6c7e-41b2-4776-937e-aeb8f0fb1c7a"/>
    <ds:schemaRef ds:uri="7eb02002-6de2-46ed-b060-121709210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Henriksen, Victoria Aas</dc:creator>
  <cp:keywords/>
  <dc:description/>
  <cp:lastModifiedBy>Maurset, Silje Uhlen</cp:lastModifiedBy>
  <cp:revision>2</cp:revision>
  <dcterms:created xsi:type="dcterms:W3CDTF">2025-06-03T10:18:00Z</dcterms:created>
  <dcterms:modified xsi:type="dcterms:W3CDTF">2025-06-03T10:18:00Z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e49cfc-356a-405d-9593-9d51e2480dda_Enabled">
    <vt:lpwstr>true</vt:lpwstr>
  </property>
  <property fmtid="{D5CDD505-2E9C-101B-9397-08002B2CF9AE}" pid="3" name="MSIP_Label_fce49cfc-356a-405d-9593-9d51e2480dda_SetDate">
    <vt:lpwstr>2025-04-15T07:12:21Z</vt:lpwstr>
  </property>
  <property fmtid="{D5CDD505-2E9C-101B-9397-08002B2CF9AE}" pid="4" name="MSIP_Label_fce49cfc-356a-405d-9593-9d51e2480dda_Method">
    <vt:lpwstr>Privileged</vt:lpwstr>
  </property>
  <property fmtid="{D5CDD505-2E9C-101B-9397-08002B2CF9AE}" pid="5" name="MSIP_Label_fce49cfc-356a-405d-9593-9d51e2480dda_Name">
    <vt:lpwstr>Intern Skjermet</vt:lpwstr>
  </property>
  <property fmtid="{D5CDD505-2E9C-101B-9397-08002B2CF9AE}" pid="6" name="MSIP_Label_fce49cfc-356a-405d-9593-9d51e2480dda_SiteId">
    <vt:lpwstr>3977e38c-aa4b-439e-80ea-421a4d4ef891</vt:lpwstr>
  </property>
  <property fmtid="{D5CDD505-2E9C-101B-9397-08002B2CF9AE}" pid="7" name="MSIP_Label_fce49cfc-356a-405d-9593-9d51e2480dda_ActionId">
    <vt:lpwstr>d95b0d2e-c0b5-403a-bb2c-1147c7e560ec</vt:lpwstr>
  </property>
  <property fmtid="{D5CDD505-2E9C-101B-9397-08002B2CF9AE}" pid="8" name="MSIP_Label_fce49cfc-356a-405d-9593-9d51e2480dda_ContentBits">
    <vt:lpwstr>0</vt:lpwstr>
  </property>
  <property fmtid="{D5CDD505-2E9C-101B-9397-08002B2CF9AE}" pid="9" name="MSIP_Label_fce49cfc-356a-405d-9593-9d51e2480dda_Tag">
    <vt:lpwstr>10, 0, 1, 1</vt:lpwstr>
  </property>
  <property fmtid="{D5CDD505-2E9C-101B-9397-08002B2CF9AE}" pid="10" name="ContentTypeId">
    <vt:lpwstr>0x010100945156D9A3619E4199C8B1565C2AA196</vt:lpwstr>
  </property>
</Properties>
</file>