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2755" w14:textId="31A27014" w:rsidR="005F559A" w:rsidRPr="00A3183D" w:rsidRDefault="00A3183D" w:rsidP="00A3183D">
      <w:pPr>
        <w:pStyle w:val="Heading1"/>
        <w:rPr>
          <w:lang w:val="en-US"/>
        </w:rPr>
      </w:pPr>
      <w:r w:rsidRPr="00A3183D">
        <w:rPr>
          <w:lang w:val="en-US"/>
        </w:rPr>
        <w:t>Format for comments to t</w:t>
      </w:r>
      <w:r>
        <w:rPr>
          <w:lang w:val="en-US"/>
        </w:rPr>
        <w:t xml:space="preserve">he Strategic Partnership model for civil society </w:t>
      </w:r>
      <w:proofErr w:type="spellStart"/>
      <w:r>
        <w:rPr>
          <w:lang w:val="en-US"/>
        </w:rPr>
        <w:t>organi</w:t>
      </w:r>
      <w:r w:rsidR="00B4439E">
        <w:rPr>
          <w:lang w:val="en-US"/>
        </w:rPr>
        <w:t>s</w:t>
      </w:r>
      <w:r>
        <w:rPr>
          <w:lang w:val="en-US"/>
        </w:rPr>
        <w:t>ations</w:t>
      </w:r>
      <w:proofErr w:type="spellEnd"/>
    </w:p>
    <w:p w14:paraId="3B26CD8F" w14:textId="137181B7" w:rsidR="005F559A" w:rsidRDefault="00B4439E" w:rsidP="005F559A">
      <w:proofErr w:type="spellStart"/>
      <w:r>
        <w:t>Organisation</w:t>
      </w:r>
      <w:proofErr w:type="spellEnd"/>
      <w:r w:rsidR="005F559A">
        <w:t>:</w:t>
      </w:r>
    </w:p>
    <w:p w14:paraId="5AA8AD15" w14:textId="77777777" w:rsidR="005F559A" w:rsidRPr="006042E5" w:rsidRDefault="005F559A" w:rsidP="005F559A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531"/>
        <w:gridCol w:w="9639"/>
      </w:tblGrid>
      <w:tr w:rsidR="005F559A" w14:paraId="6D2E6A37" w14:textId="77777777">
        <w:tc>
          <w:tcPr>
            <w:tcW w:w="4531" w:type="dxa"/>
            <w:shd w:val="clear" w:color="auto" w:fill="8EAADB" w:themeFill="accent1" w:themeFillTint="99"/>
          </w:tcPr>
          <w:p w14:paraId="1404D912" w14:textId="06336DDB" w:rsidR="005F559A" w:rsidRPr="00732746" w:rsidRDefault="005F559A">
            <w:pPr>
              <w:rPr>
                <w:rFonts w:eastAsiaTheme="minorEastAsia" w:cstheme="minorHAnsi"/>
                <w:b/>
                <w:bCs/>
              </w:rPr>
            </w:pPr>
            <w:proofErr w:type="spellStart"/>
            <w:r>
              <w:rPr>
                <w:rFonts w:eastAsiaTheme="minorEastAsia" w:cstheme="minorHAnsi"/>
                <w:b/>
                <w:bCs/>
              </w:rPr>
              <w:t>T</w:t>
            </w:r>
            <w:r w:rsidR="00A3183D">
              <w:rPr>
                <w:rFonts w:eastAsiaTheme="minorEastAsia" w:cstheme="minorHAnsi"/>
                <w:b/>
                <w:bCs/>
              </w:rPr>
              <w:t>opic</w:t>
            </w:r>
            <w:proofErr w:type="spellEnd"/>
          </w:p>
        </w:tc>
        <w:tc>
          <w:tcPr>
            <w:tcW w:w="9639" w:type="dxa"/>
            <w:shd w:val="clear" w:color="auto" w:fill="8EAADB" w:themeFill="accent1" w:themeFillTint="99"/>
          </w:tcPr>
          <w:p w14:paraId="1908443C" w14:textId="4B22BD51" w:rsidR="005F559A" w:rsidRPr="00A3183D" w:rsidRDefault="00A3183D">
            <w:pPr>
              <w:rPr>
                <w:b/>
                <w:bCs/>
              </w:rPr>
            </w:pPr>
            <w:proofErr w:type="spellStart"/>
            <w:r w:rsidRPr="00A3183D">
              <w:rPr>
                <w:b/>
                <w:bCs/>
              </w:rPr>
              <w:t>Comment</w:t>
            </w:r>
            <w:r>
              <w:rPr>
                <w:b/>
                <w:bCs/>
              </w:rPr>
              <w:t>s</w:t>
            </w:r>
            <w:proofErr w:type="spellEnd"/>
          </w:p>
        </w:tc>
      </w:tr>
      <w:tr w:rsidR="005F559A" w14:paraId="2B680B9F" w14:textId="77777777">
        <w:tc>
          <w:tcPr>
            <w:tcW w:w="14170" w:type="dxa"/>
            <w:gridSpan w:val="2"/>
            <w:shd w:val="clear" w:color="auto" w:fill="D9E2F3" w:themeFill="accent1" w:themeFillTint="33"/>
          </w:tcPr>
          <w:p w14:paraId="28ADB791" w14:textId="5BCD7168" w:rsidR="005F559A" w:rsidRDefault="00097FB4">
            <w:r>
              <w:rPr>
                <w:rFonts w:eastAsiaTheme="minorEastAsia" w:cstheme="minorHAnsi"/>
                <w:b/>
                <w:bCs/>
              </w:rPr>
              <w:t>Rights</w:t>
            </w:r>
          </w:p>
        </w:tc>
      </w:tr>
      <w:tr w:rsidR="005F559A" w:rsidRPr="00B4439E" w14:paraId="285B5647" w14:textId="77777777">
        <w:tc>
          <w:tcPr>
            <w:tcW w:w="4531" w:type="dxa"/>
          </w:tcPr>
          <w:p w14:paraId="119C0A32" w14:textId="77777777" w:rsidR="006F3743" w:rsidRDefault="006F3743" w:rsidP="005156FE">
            <w:pPr>
              <w:rPr>
                <w:rFonts w:eastAsiaTheme="minorEastAsia"/>
                <w:bCs/>
                <w:lang w:val="en-GB"/>
              </w:rPr>
            </w:pPr>
            <w:r w:rsidRPr="00D52402">
              <w:rPr>
                <w:rFonts w:eastAsiaTheme="minorEastAsia"/>
                <w:bCs/>
                <w:lang w:val="en-GB"/>
              </w:rPr>
              <w:t xml:space="preserve">The right to submit a simplified application for calls for proposals that </w:t>
            </w:r>
            <w:proofErr w:type="spellStart"/>
            <w:r w:rsidRPr="00D52402">
              <w:rPr>
                <w:rFonts w:eastAsiaTheme="minorEastAsia"/>
                <w:bCs/>
                <w:lang w:val="en-GB"/>
              </w:rPr>
              <w:t>Norad</w:t>
            </w:r>
            <w:proofErr w:type="spellEnd"/>
            <w:r w:rsidRPr="00D52402">
              <w:rPr>
                <w:rFonts w:eastAsiaTheme="minorEastAsia"/>
                <w:bCs/>
                <w:lang w:val="en-GB"/>
              </w:rPr>
              <w:t xml:space="preserve"> announces for civil society organisations, in the areas where the strategic partner’s thematic</w:t>
            </w:r>
            <w:r w:rsidRPr="00D52402" w:rsidDel="00F2287D">
              <w:rPr>
                <w:rFonts w:eastAsiaTheme="minorEastAsia"/>
                <w:bCs/>
                <w:lang w:val="en-GB"/>
              </w:rPr>
              <w:t xml:space="preserve"> </w:t>
            </w:r>
            <w:r w:rsidRPr="00D52402">
              <w:rPr>
                <w:rFonts w:eastAsiaTheme="minorEastAsia"/>
                <w:bCs/>
                <w:lang w:val="en-GB"/>
              </w:rPr>
              <w:t>and geographical expertise has been assessed.</w:t>
            </w:r>
          </w:p>
          <w:p w14:paraId="7F2BAD32" w14:textId="3E6CDE2C" w:rsidR="00097FB4" w:rsidRPr="00097FB4" w:rsidRDefault="00097FB4" w:rsidP="006F3743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49A05EA2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759938F3" w14:textId="77777777">
        <w:tc>
          <w:tcPr>
            <w:tcW w:w="4531" w:type="dxa"/>
          </w:tcPr>
          <w:p w14:paraId="58A348C2" w14:textId="6A633492" w:rsidR="005F559A" w:rsidRDefault="0057016B" w:rsidP="00A346DA">
            <w:pPr>
              <w:rPr>
                <w:rFonts w:cstheme="minorHAnsi"/>
                <w:bCs/>
                <w:lang w:val="en-GB"/>
              </w:rPr>
            </w:pPr>
            <w:r w:rsidRPr="00097FB4">
              <w:rPr>
                <w:rFonts w:cstheme="minorHAnsi"/>
                <w:bCs/>
                <w:lang w:val="en-GB"/>
              </w:rPr>
              <w:t>Right to more flexible financing</w:t>
            </w:r>
            <w:r w:rsidR="00097FB4">
              <w:rPr>
                <w:rFonts w:cstheme="minorHAnsi"/>
                <w:bCs/>
                <w:lang w:val="en-GB"/>
              </w:rPr>
              <w:t>.</w:t>
            </w:r>
          </w:p>
          <w:p w14:paraId="34F4C41B" w14:textId="7C2CAAD9" w:rsidR="00097FB4" w:rsidRPr="00097FB4" w:rsidRDefault="00097FB4" w:rsidP="00A346DA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9639" w:type="dxa"/>
          </w:tcPr>
          <w:p w14:paraId="2D140F3C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7DA81B78" w14:textId="77777777">
        <w:tc>
          <w:tcPr>
            <w:tcW w:w="4531" w:type="dxa"/>
          </w:tcPr>
          <w:p w14:paraId="0E893B2C" w14:textId="7AE4B833" w:rsidR="005F559A" w:rsidRDefault="00BE7273">
            <w:pPr>
              <w:rPr>
                <w:rFonts w:cstheme="minorHAnsi"/>
                <w:bCs/>
                <w:lang w:val="en-GB"/>
              </w:rPr>
            </w:pPr>
            <w:r w:rsidRPr="00097FB4">
              <w:rPr>
                <w:rFonts w:cstheme="minorHAnsi"/>
                <w:bCs/>
                <w:lang w:val="en-GB"/>
              </w:rPr>
              <w:t xml:space="preserve">Arrangements for results management </w:t>
            </w:r>
            <w:r w:rsidR="00546627">
              <w:rPr>
                <w:rFonts w:cstheme="minorHAnsi"/>
                <w:bCs/>
                <w:lang w:val="en-GB"/>
              </w:rPr>
              <w:t>is</w:t>
            </w:r>
            <w:r w:rsidRPr="00097FB4">
              <w:rPr>
                <w:rFonts w:cstheme="minorHAnsi"/>
                <w:bCs/>
                <w:lang w:val="en-GB"/>
              </w:rPr>
              <w:t xml:space="preserve"> agreed at the corresponding overarching level.</w:t>
            </w:r>
          </w:p>
          <w:p w14:paraId="0CFDDFD0" w14:textId="0B2B131F" w:rsidR="00097FB4" w:rsidRPr="00097FB4" w:rsidRDefault="00097FB4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9639" w:type="dxa"/>
          </w:tcPr>
          <w:p w14:paraId="027FD8AD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17544B6F" w14:textId="77777777">
        <w:tc>
          <w:tcPr>
            <w:tcW w:w="4531" w:type="dxa"/>
          </w:tcPr>
          <w:p w14:paraId="0BE1E5F1" w14:textId="77777777" w:rsidR="005F559A" w:rsidRDefault="00CF3C7F">
            <w:pPr>
              <w:rPr>
                <w:rFonts w:cstheme="minorHAnsi"/>
                <w:bCs/>
                <w:lang w:val="en-GB"/>
              </w:rPr>
            </w:pPr>
            <w:r w:rsidRPr="00097FB4">
              <w:rPr>
                <w:rFonts w:cstheme="minorHAnsi"/>
                <w:bCs/>
                <w:lang w:val="en-GB"/>
              </w:rPr>
              <w:t>Right to follow-up at a more overarching level.</w:t>
            </w:r>
          </w:p>
          <w:p w14:paraId="753F6386" w14:textId="41AFAF39" w:rsidR="00097FB4" w:rsidRPr="00097FB4" w:rsidRDefault="00097FB4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9639" w:type="dxa"/>
          </w:tcPr>
          <w:p w14:paraId="1BDA0DE8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097FB4" w14:paraId="53975045" w14:textId="77777777">
        <w:tc>
          <w:tcPr>
            <w:tcW w:w="14170" w:type="dxa"/>
            <w:gridSpan w:val="2"/>
            <w:shd w:val="clear" w:color="auto" w:fill="D9E2F3" w:themeFill="accent1" w:themeFillTint="33"/>
          </w:tcPr>
          <w:p w14:paraId="17DEA61C" w14:textId="4E5C85C4" w:rsidR="005F559A" w:rsidRPr="00097FB4" w:rsidRDefault="009B2BD8">
            <w:pPr>
              <w:rPr>
                <w:rFonts w:cstheme="minorHAnsi"/>
                <w:b/>
                <w:bCs/>
              </w:rPr>
            </w:pPr>
            <w:proofErr w:type="spellStart"/>
            <w:r w:rsidRPr="00097FB4">
              <w:rPr>
                <w:rFonts w:cstheme="minorHAnsi"/>
                <w:b/>
                <w:bCs/>
              </w:rPr>
              <w:t>Obligations</w:t>
            </w:r>
            <w:proofErr w:type="spellEnd"/>
          </w:p>
        </w:tc>
      </w:tr>
      <w:tr w:rsidR="005F559A" w:rsidRPr="00B4439E" w14:paraId="7051821F" w14:textId="77777777">
        <w:tc>
          <w:tcPr>
            <w:tcW w:w="4531" w:type="dxa"/>
          </w:tcPr>
          <w:p w14:paraId="60B4C5D5" w14:textId="77777777" w:rsidR="009B2BD8" w:rsidRPr="00097FB4" w:rsidRDefault="009B2BD8" w:rsidP="009B2BD8">
            <w:pPr>
              <w:rPr>
                <w:rFonts w:cstheme="minorHAnsi"/>
                <w:lang w:val="en-GB"/>
              </w:rPr>
            </w:pPr>
            <w:r w:rsidRPr="00097FB4">
              <w:rPr>
                <w:rFonts w:cstheme="minorHAnsi"/>
                <w:lang w:val="en-GB"/>
              </w:rPr>
              <w:t xml:space="preserve">Obligation to inform </w:t>
            </w:r>
            <w:proofErr w:type="spellStart"/>
            <w:r w:rsidRPr="00097FB4">
              <w:rPr>
                <w:rFonts w:cstheme="minorHAnsi"/>
                <w:lang w:val="en-GB"/>
              </w:rPr>
              <w:t>Norad</w:t>
            </w:r>
            <w:proofErr w:type="spellEnd"/>
            <w:r w:rsidRPr="00097FB4">
              <w:rPr>
                <w:rFonts w:cstheme="minorHAnsi"/>
                <w:lang w:val="en-GB"/>
              </w:rPr>
              <w:t xml:space="preserve"> of changes of material significance for the status of strategic partner.</w:t>
            </w:r>
          </w:p>
          <w:p w14:paraId="6C99AA71" w14:textId="77777777" w:rsidR="005F559A" w:rsidRPr="00097FB4" w:rsidRDefault="005F559A" w:rsidP="00CF3C7F">
            <w:pPr>
              <w:rPr>
                <w:rFonts w:cstheme="minorHAnsi"/>
                <w:lang w:val="en-GB"/>
              </w:rPr>
            </w:pPr>
          </w:p>
        </w:tc>
        <w:tc>
          <w:tcPr>
            <w:tcW w:w="9639" w:type="dxa"/>
          </w:tcPr>
          <w:p w14:paraId="5E2C9B5F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289F3BA8" w14:textId="77777777">
        <w:tc>
          <w:tcPr>
            <w:tcW w:w="4531" w:type="dxa"/>
          </w:tcPr>
          <w:p w14:paraId="6D64E6B2" w14:textId="77777777" w:rsidR="00DA77A4" w:rsidRPr="00097FB4" w:rsidRDefault="00DA77A4" w:rsidP="00DA77A4">
            <w:pPr>
              <w:rPr>
                <w:rFonts w:cstheme="minorHAnsi"/>
                <w:lang w:val="en-GB"/>
              </w:rPr>
            </w:pPr>
            <w:r w:rsidRPr="00097FB4">
              <w:rPr>
                <w:rFonts w:cstheme="minorHAnsi"/>
                <w:lang w:val="en-GB"/>
              </w:rPr>
              <w:t xml:space="preserve">Obligation to assist with </w:t>
            </w:r>
            <w:proofErr w:type="spellStart"/>
            <w:r w:rsidRPr="00097FB4">
              <w:rPr>
                <w:rFonts w:cstheme="minorHAnsi"/>
                <w:lang w:val="en-GB"/>
              </w:rPr>
              <w:t>Norad’s</w:t>
            </w:r>
            <w:proofErr w:type="spellEnd"/>
            <w:r w:rsidRPr="00097FB4">
              <w:rPr>
                <w:rFonts w:cstheme="minorHAnsi"/>
                <w:lang w:val="en-GB"/>
              </w:rPr>
              <w:t xml:space="preserve"> need for statistical reporting.</w:t>
            </w:r>
          </w:p>
          <w:p w14:paraId="675568B3" w14:textId="77777777" w:rsidR="005F559A" w:rsidRPr="00097FB4" w:rsidRDefault="005F559A" w:rsidP="009B2BD8">
            <w:pPr>
              <w:rPr>
                <w:rFonts w:cstheme="minorHAnsi"/>
                <w:lang w:val="en-GB"/>
              </w:rPr>
            </w:pPr>
          </w:p>
        </w:tc>
        <w:tc>
          <w:tcPr>
            <w:tcW w:w="9639" w:type="dxa"/>
          </w:tcPr>
          <w:p w14:paraId="529E93F7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5573AAB9" w14:textId="77777777">
        <w:tc>
          <w:tcPr>
            <w:tcW w:w="4531" w:type="dxa"/>
          </w:tcPr>
          <w:p w14:paraId="74141143" w14:textId="3CA29DAF" w:rsidR="00D02369" w:rsidRPr="00097FB4" w:rsidRDefault="00D02369" w:rsidP="00D02369">
            <w:pPr>
              <w:rPr>
                <w:rFonts w:cstheme="minorHAnsi"/>
                <w:lang w:val="en-GB"/>
              </w:rPr>
            </w:pPr>
            <w:r w:rsidRPr="00097FB4">
              <w:rPr>
                <w:rFonts w:cstheme="minorHAnsi"/>
                <w:lang w:val="en-GB"/>
              </w:rPr>
              <w:t xml:space="preserve">Obligation to facilitate control measures by </w:t>
            </w:r>
            <w:proofErr w:type="spellStart"/>
            <w:r w:rsidRPr="00097FB4">
              <w:rPr>
                <w:rFonts w:cstheme="minorHAnsi"/>
                <w:lang w:val="en-GB"/>
              </w:rPr>
              <w:t>Norad</w:t>
            </w:r>
            <w:proofErr w:type="spellEnd"/>
            <w:r w:rsidRPr="00097FB4">
              <w:rPr>
                <w:rFonts w:cstheme="minorHAnsi"/>
                <w:lang w:val="en-GB"/>
              </w:rPr>
              <w:t xml:space="preserve">. </w:t>
            </w:r>
            <w:r w:rsidR="00336AD5">
              <w:rPr>
                <w:rFonts w:cstheme="minorHAnsi"/>
                <w:lang w:val="en-GB"/>
              </w:rPr>
              <w:t>C</w:t>
            </w:r>
            <w:r w:rsidRPr="00097FB4">
              <w:rPr>
                <w:rFonts w:cstheme="minorHAnsi"/>
                <w:lang w:val="en-GB"/>
              </w:rPr>
              <w:t>ontrol measures are normally carried out as spot checks during the agreement period.</w:t>
            </w:r>
          </w:p>
          <w:p w14:paraId="10B3F485" w14:textId="77777777" w:rsidR="005F559A" w:rsidRPr="00097FB4" w:rsidRDefault="005F559A" w:rsidP="00DA77A4">
            <w:pPr>
              <w:rPr>
                <w:rFonts w:cstheme="minorHAnsi"/>
                <w:lang w:val="en-GB"/>
              </w:rPr>
            </w:pPr>
          </w:p>
        </w:tc>
        <w:tc>
          <w:tcPr>
            <w:tcW w:w="9639" w:type="dxa"/>
          </w:tcPr>
          <w:p w14:paraId="62B85A78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1E6FC81E" w14:textId="77777777">
        <w:tc>
          <w:tcPr>
            <w:tcW w:w="4531" w:type="dxa"/>
          </w:tcPr>
          <w:p w14:paraId="2C52D1D6" w14:textId="77777777" w:rsidR="005F559A" w:rsidRDefault="00DE40AF" w:rsidP="00D02369">
            <w:pPr>
              <w:rPr>
                <w:rFonts w:cstheme="minorHAnsi"/>
                <w:lang w:val="en-GB"/>
              </w:rPr>
            </w:pPr>
            <w:r w:rsidRPr="00097FB4">
              <w:rPr>
                <w:rFonts w:cstheme="minorHAnsi"/>
                <w:lang w:val="en-GB"/>
              </w:rPr>
              <w:t>Obligation to provide information about programme activities in the strategic dialogue</w:t>
            </w:r>
            <w:r w:rsidR="00097FB4">
              <w:rPr>
                <w:rFonts w:cstheme="minorHAnsi"/>
                <w:lang w:val="en-GB"/>
              </w:rPr>
              <w:t>.</w:t>
            </w:r>
          </w:p>
          <w:p w14:paraId="52E4A887" w14:textId="30D3117E" w:rsidR="00097FB4" w:rsidRPr="00097FB4" w:rsidRDefault="00097FB4" w:rsidP="00D02369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29222846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097FB4" w14:paraId="25FDFAD6" w14:textId="77777777">
        <w:tc>
          <w:tcPr>
            <w:tcW w:w="14170" w:type="dxa"/>
            <w:gridSpan w:val="2"/>
            <w:shd w:val="clear" w:color="auto" w:fill="D9E2F3" w:themeFill="accent1" w:themeFillTint="33"/>
          </w:tcPr>
          <w:p w14:paraId="415CF3B3" w14:textId="61F69CEF" w:rsidR="005F559A" w:rsidRPr="00097FB4" w:rsidRDefault="00DE40AF">
            <w:pPr>
              <w:rPr>
                <w:rFonts w:cstheme="minorHAnsi"/>
                <w:b/>
                <w:bCs/>
              </w:rPr>
            </w:pPr>
            <w:proofErr w:type="spellStart"/>
            <w:r w:rsidRPr="00097FB4">
              <w:rPr>
                <w:rFonts w:cstheme="minorHAnsi"/>
                <w:b/>
                <w:bCs/>
              </w:rPr>
              <w:t>Follow</w:t>
            </w:r>
            <w:proofErr w:type="spellEnd"/>
            <w:r w:rsidRPr="00097FB4">
              <w:rPr>
                <w:rFonts w:cstheme="minorHAnsi"/>
                <w:b/>
                <w:bCs/>
              </w:rPr>
              <w:t>-up</w:t>
            </w:r>
          </w:p>
        </w:tc>
      </w:tr>
      <w:tr w:rsidR="005F559A" w:rsidRPr="00097FB4" w14:paraId="74F4F654" w14:textId="77777777">
        <w:tc>
          <w:tcPr>
            <w:tcW w:w="4531" w:type="dxa"/>
          </w:tcPr>
          <w:p w14:paraId="1B8CB14C" w14:textId="66BBB012" w:rsidR="005F559A" w:rsidRPr="00097FB4" w:rsidRDefault="00CB6760">
            <w:pPr>
              <w:rPr>
                <w:rFonts w:cstheme="minorHAnsi"/>
              </w:rPr>
            </w:pPr>
            <w:proofErr w:type="spellStart"/>
            <w:r w:rsidRPr="00097FB4">
              <w:rPr>
                <w:rFonts w:cstheme="minorHAnsi"/>
              </w:rPr>
              <w:t>Interaction</w:t>
            </w:r>
            <w:proofErr w:type="spellEnd"/>
            <w:r w:rsidRPr="00097FB4">
              <w:rPr>
                <w:rFonts w:cstheme="minorHAnsi"/>
              </w:rPr>
              <w:t xml:space="preserve"> </w:t>
            </w:r>
            <w:proofErr w:type="spellStart"/>
            <w:r w:rsidRPr="00097FB4">
              <w:rPr>
                <w:rFonts w:cstheme="minorHAnsi"/>
              </w:rPr>
              <w:t>with</w:t>
            </w:r>
            <w:proofErr w:type="spellEnd"/>
            <w:r w:rsidRPr="00097FB4">
              <w:rPr>
                <w:rFonts w:cstheme="minorHAnsi"/>
              </w:rPr>
              <w:t xml:space="preserve"> Norad</w:t>
            </w:r>
          </w:p>
          <w:p w14:paraId="7F7A6402" w14:textId="77777777" w:rsidR="005F559A" w:rsidRPr="00097FB4" w:rsidRDefault="005F559A">
            <w:pPr>
              <w:rPr>
                <w:rFonts w:cstheme="minorHAnsi"/>
              </w:rPr>
            </w:pPr>
          </w:p>
        </w:tc>
        <w:tc>
          <w:tcPr>
            <w:tcW w:w="9639" w:type="dxa"/>
          </w:tcPr>
          <w:p w14:paraId="155B91CC" w14:textId="77777777" w:rsidR="005F559A" w:rsidRPr="00097FB4" w:rsidRDefault="005F559A">
            <w:pPr>
              <w:rPr>
                <w:rFonts w:cstheme="minorHAnsi"/>
              </w:rPr>
            </w:pPr>
          </w:p>
        </w:tc>
      </w:tr>
      <w:tr w:rsidR="005F559A" w:rsidRPr="00097FB4" w14:paraId="2315A58E" w14:textId="77777777">
        <w:tc>
          <w:tcPr>
            <w:tcW w:w="4531" w:type="dxa"/>
          </w:tcPr>
          <w:p w14:paraId="749AEFB2" w14:textId="43C0EF98" w:rsidR="005F559A" w:rsidRPr="00097FB4" w:rsidRDefault="005F559A">
            <w:pPr>
              <w:rPr>
                <w:rFonts w:cstheme="minorHAnsi"/>
              </w:rPr>
            </w:pPr>
            <w:proofErr w:type="spellStart"/>
            <w:r w:rsidRPr="00097FB4">
              <w:rPr>
                <w:rFonts w:cstheme="minorHAnsi"/>
              </w:rPr>
              <w:t>Lo</w:t>
            </w:r>
            <w:r w:rsidR="00CB6760" w:rsidRPr="00097FB4">
              <w:rPr>
                <w:rFonts w:cstheme="minorHAnsi"/>
              </w:rPr>
              <w:t>cali</w:t>
            </w:r>
            <w:r w:rsidR="00D52402">
              <w:rPr>
                <w:rFonts w:cstheme="minorHAnsi"/>
              </w:rPr>
              <w:t>s</w:t>
            </w:r>
            <w:r w:rsidR="00CB6760" w:rsidRPr="00097FB4">
              <w:rPr>
                <w:rFonts w:cstheme="minorHAnsi"/>
              </w:rPr>
              <w:t>ation</w:t>
            </w:r>
            <w:proofErr w:type="spellEnd"/>
          </w:p>
          <w:p w14:paraId="76EA712D" w14:textId="77777777" w:rsidR="005F559A" w:rsidRPr="00097FB4" w:rsidRDefault="005F559A">
            <w:pPr>
              <w:rPr>
                <w:rFonts w:cstheme="minorHAnsi"/>
              </w:rPr>
            </w:pPr>
          </w:p>
        </w:tc>
        <w:tc>
          <w:tcPr>
            <w:tcW w:w="9639" w:type="dxa"/>
          </w:tcPr>
          <w:p w14:paraId="1B04D2BF" w14:textId="77777777" w:rsidR="005F559A" w:rsidRPr="00097FB4" w:rsidRDefault="005F559A">
            <w:pPr>
              <w:rPr>
                <w:rFonts w:cstheme="minorHAnsi"/>
              </w:rPr>
            </w:pPr>
          </w:p>
        </w:tc>
      </w:tr>
      <w:tr w:rsidR="005F559A" w:rsidRPr="00097FB4" w14:paraId="3A17E0EE" w14:textId="77777777">
        <w:tc>
          <w:tcPr>
            <w:tcW w:w="4531" w:type="dxa"/>
          </w:tcPr>
          <w:p w14:paraId="107D0CF5" w14:textId="6BE546FE" w:rsidR="005F559A" w:rsidRPr="00097FB4" w:rsidRDefault="005F559A">
            <w:pPr>
              <w:rPr>
                <w:rFonts w:cstheme="minorHAnsi"/>
              </w:rPr>
            </w:pPr>
            <w:r w:rsidRPr="00097FB4">
              <w:rPr>
                <w:rFonts w:cstheme="minorHAnsi"/>
              </w:rPr>
              <w:t>Str</w:t>
            </w:r>
            <w:r w:rsidR="00CB6760" w:rsidRPr="00097FB4">
              <w:rPr>
                <w:rFonts w:cstheme="minorHAnsi"/>
              </w:rPr>
              <w:t xml:space="preserve">ategic </w:t>
            </w:r>
            <w:proofErr w:type="spellStart"/>
            <w:r w:rsidR="00CB6760" w:rsidRPr="00097FB4">
              <w:rPr>
                <w:rFonts w:cstheme="minorHAnsi"/>
              </w:rPr>
              <w:t>dialogue</w:t>
            </w:r>
            <w:proofErr w:type="spellEnd"/>
          </w:p>
          <w:p w14:paraId="2866DAB6" w14:textId="77777777" w:rsidR="005F559A" w:rsidRPr="00097FB4" w:rsidRDefault="005F559A">
            <w:pPr>
              <w:rPr>
                <w:rFonts w:cstheme="minorHAnsi"/>
              </w:rPr>
            </w:pPr>
          </w:p>
        </w:tc>
        <w:tc>
          <w:tcPr>
            <w:tcW w:w="9639" w:type="dxa"/>
          </w:tcPr>
          <w:p w14:paraId="0CE14B71" w14:textId="77777777" w:rsidR="005F559A" w:rsidRPr="00097FB4" w:rsidRDefault="005F559A">
            <w:pPr>
              <w:rPr>
                <w:rFonts w:cstheme="minorHAnsi"/>
              </w:rPr>
            </w:pPr>
          </w:p>
        </w:tc>
      </w:tr>
      <w:tr w:rsidR="005F559A" w:rsidRPr="00097FB4" w14:paraId="10EA03F7" w14:textId="77777777">
        <w:tc>
          <w:tcPr>
            <w:tcW w:w="4531" w:type="dxa"/>
          </w:tcPr>
          <w:p w14:paraId="411CCAC0" w14:textId="6B5C79BA" w:rsidR="005F559A" w:rsidRPr="00097FB4" w:rsidRDefault="00CB6760">
            <w:pPr>
              <w:rPr>
                <w:rFonts w:cstheme="minorHAnsi"/>
              </w:rPr>
            </w:pPr>
            <w:r w:rsidRPr="00097FB4">
              <w:rPr>
                <w:rFonts w:cstheme="minorHAnsi"/>
              </w:rPr>
              <w:t xml:space="preserve">Application </w:t>
            </w:r>
            <w:proofErr w:type="spellStart"/>
            <w:r w:rsidRPr="00097FB4">
              <w:rPr>
                <w:rFonts w:cstheme="minorHAnsi"/>
              </w:rPr>
              <w:t>process</w:t>
            </w:r>
            <w:proofErr w:type="spellEnd"/>
          </w:p>
          <w:p w14:paraId="089AFBC0" w14:textId="77777777" w:rsidR="005F559A" w:rsidRPr="00097FB4" w:rsidRDefault="005F559A">
            <w:pPr>
              <w:rPr>
                <w:rFonts w:cstheme="minorHAnsi"/>
              </w:rPr>
            </w:pPr>
          </w:p>
        </w:tc>
        <w:tc>
          <w:tcPr>
            <w:tcW w:w="9639" w:type="dxa"/>
          </w:tcPr>
          <w:p w14:paraId="3CB8999E" w14:textId="77777777" w:rsidR="005F559A" w:rsidRPr="00097FB4" w:rsidRDefault="005F559A">
            <w:pPr>
              <w:rPr>
                <w:rFonts w:cstheme="minorHAnsi"/>
              </w:rPr>
            </w:pPr>
          </w:p>
        </w:tc>
      </w:tr>
      <w:tr w:rsidR="005F559A" w:rsidRPr="00097FB4" w14:paraId="25E2BD32" w14:textId="77777777">
        <w:tc>
          <w:tcPr>
            <w:tcW w:w="14170" w:type="dxa"/>
            <w:gridSpan w:val="2"/>
            <w:shd w:val="clear" w:color="auto" w:fill="D9E2F3" w:themeFill="accent1" w:themeFillTint="33"/>
          </w:tcPr>
          <w:p w14:paraId="7CA6CBBB" w14:textId="31B21096" w:rsidR="005F559A" w:rsidRPr="00097FB4" w:rsidRDefault="00CB6760">
            <w:pPr>
              <w:rPr>
                <w:rFonts w:cstheme="minorHAnsi"/>
              </w:rPr>
            </w:pPr>
            <w:proofErr w:type="spellStart"/>
            <w:r w:rsidRPr="00097FB4">
              <w:rPr>
                <w:rFonts w:cstheme="minorHAnsi"/>
                <w:b/>
                <w:bCs/>
              </w:rPr>
              <w:t>Criteria</w:t>
            </w:r>
            <w:proofErr w:type="spellEnd"/>
          </w:p>
        </w:tc>
      </w:tr>
      <w:tr w:rsidR="005F559A" w:rsidRPr="00B4439E" w14:paraId="6E24A1AE" w14:textId="77777777">
        <w:tc>
          <w:tcPr>
            <w:tcW w:w="4531" w:type="dxa"/>
          </w:tcPr>
          <w:p w14:paraId="0C661756" w14:textId="77777777" w:rsidR="002D22DC" w:rsidRPr="00097FB4" w:rsidRDefault="002D22DC" w:rsidP="003E52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applicant has expertise in one or more of the thematic and geographical priority areas in Norwegian development policy and 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Norad’s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thematic portfolios. </w:t>
            </w:r>
          </w:p>
          <w:p w14:paraId="0680EF2D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1B6433D1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40282AF0" w14:textId="77777777">
        <w:tc>
          <w:tcPr>
            <w:tcW w:w="4531" w:type="dxa"/>
          </w:tcPr>
          <w:p w14:paraId="1E3DD69F" w14:textId="06DE2DFB" w:rsidR="00C47155" w:rsidRPr="00097FB4" w:rsidRDefault="00C47155" w:rsidP="003E52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The applicant takes an overarching strategic 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programme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approach to its development cooperation work. 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Norad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will 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emphasi</w:t>
            </w:r>
            <w:r w:rsidR="00037DDF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its previous 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experiences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with the partner’s ability to focus on the effect for large target groups (outcome level) and to 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organi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the project portfolio into overarching thematically and logically 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structured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programmes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14:paraId="0E5B785D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66254DD7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3D4248E9" w14:textId="77777777">
        <w:tc>
          <w:tcPr>
            <w:tcW w:w="4531" w:type="dxa"/>
          </w:tcPr>
          <w:p w14:paraId="1DBA20F2" w14:textId="77777777" w:rsidR="00CB3297" w:rsidRPr="00097FB4" w:rsidRDefault="00CB3297" w:rsidP="003E52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The applicant ha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an established and sound results management and learning system (for example, documented in an MEL plan). </w:t>
            </w:r>
            <w:r w:rsidRPr="00097FB4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  <w:p w14:paraId="6004205D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195A6E33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4BF73BD5" w14:textId="77777777">
        <w:tc>
          <w:tcPr>
            <w:tcW w:w="4531" w:type="dxa"/>
          </w:tcPr>
          <w:p w14:paraId="386D80C0" w14:textId="77777777" w:rsidR="009C4E24" w:rsidRPr="00097FB4" w:rsidRDefault="009C4E24" w:rsidP="003E52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The 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applicant has integrated climate and environmental considerations throughout its operations. The applicant has a plan which allows for documenting year-by-year progress in reducing its principal negative impact on climate and the environment and to increase its positive environmental impact. The documentation focuses on actual compliance. </w:t>
            </w:r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32F3D6D5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4F856818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27AF6BD8" w14:textId="77777777">
        <w:tc>
          <w:tcPr>
            <w:tcW w:w="4531" w:type="dxa"/>
          </w:tcPr>
          <w:p w14:paraId="292BCB35" w14:textId="786FB8D3" w:rsidR="005F559A" w:rsidRPr="003E52BC" w:rsidRDefault="00283BD0" w:rsidP="003E52BC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</w:pPr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The applicant has good procedures on risk assessments and appropriate controls, to prevent, detect and respond to misuse of funds and corruption in projects and </w:t>
            </w:r>
            <w:proofErr w:type="spellStart"/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program</w:t>
            </w:r>
            <w:r w:rsidR="00B4439E"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me</w:t>
            </w:r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s</w:t>
            </w:r>
            <w:proofErr w:type="spellEnd"/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Norad</w:t>
            </w:r>
            <w:proofErr w:type="spellEnd"/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 will </w:t>
            </w:r>
            <w:proofErr w:type="spellStart"/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emphasi</w:t>
            </w:r>
            <w:r w:rsidR="00B4439E"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s</w:t>
            </w:r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e</w:t>
            </w:r>
            <w:proofErr w:type="spellEnd"/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 concrete examples of handling corruption and misuse, with a zero-tolerance policy and concrete improvement measures having been implemented and followed up.</w:t>
            </w:r>
          </w:p>
          <w:p w14:paraId="66BF2F6C" w14:textId="7ADA70F1" w:rsidR="00283BD0" w:rsidRPr="00097FB4" w:rsidRDefault="00283BD0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4F8B224B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0337B2D7" w14:textId="77777777">
        <w:tc>
          <w:tcPr>
            <w:tcW w:w="4531" w:type="dxa"/>
          </w:tcPr>
          <w:p w14:paraId="1207432E" w14:textId="6BA02A4D" w:rsidR="000F4823" w:rsidRPr="00097FB4" w:rsidRDefault="000F4823" w:rsidP="003E52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The applicant has holistic and documented corporate governance, including strong </w:t>
            </w:r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financial management and risk management procedures where risks are 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analy</w:t>
            </w:r>
            <w:r w:rsidR="00B4439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ed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, managed, and monitored. 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Norad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 xml:space="preserve"> will especially focus on the management of risks associated with human rights, women’s rights and gender equality, climate and environment, anti-corruption, and partner follow-up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The establishment of an internal audit function will be viewed 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favourably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.  </w:t>
            </w:r>
          </w:p>
          <w:p w14:paraId="3BA8F03C" w14:textId="77777777" w:rsidR="000F4823" w:rsidRPr="00097FB4" w:rsidRDefault="000F4823" w:rsidP="000F482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0FC8F3B8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2B3AA0CD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38987F94" w14:textId="77777777">
        <w:tc>
          <w:tcPr>
            <w:tcW w:w="4531" w:type="dxa"/>
          </w:tcPr>
          <w:p w14:paraId="4D6CA20B" w14:textId="77777777" w:rsidR="005F559A" w:rsidRPr="003E52BC" w:rsidRDefault="006D3F6C" w:rsidP="003E52BC">
            <w:pPr>
              <w:pStyle w:val="ListParagraph"/>
              <w:numPr>
                <w:ilvl w:val="0"/>
                <w:numId w:val="3"/>
              </w:numPr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</w:pPr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The applicant’s participation in and leadership of civil society consortia as well as experience </w:t>
            </w:r>
            <w:r w:rsidRPr="003E52BC">
              <w:rPr>
                <w:rStyle w:val="normaltextrun"/>
                <w:rFonts w:cstheme="minorHAnsi"/>
                <w:shd w:val="clear" w:color="auto" w:fill="FFFFFF"/>
                <w:lang w:val="en-US"/>
              </w:rPr>
              <w:t>cooperat</w:t>
            </w:r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 xml:space="preserve">ing with other development aid actors (including public agencies, research institutions, the UN, and the private sector) will be viewed </w:t>
            </w:r>
            <w:proofErr w:type="spellStart"/>
            <w:r w:rsidRPr="003E52BC">
              <w:rPr>
                <w:rStyle w:val="normaltextrun"/>
                <w:rFonts w:cstheme="minorHAnsi"/>
                <w:color w:val="000000"/>
                <w:shd w:val="clear" w:color="auto" w:fill="FFFFFF"/>
                <w:lang w:val="en-US"/>
              </w:rPr>
              <w:t>favourably</w:t>
            </w:r>
            <w:proofErr w:type="spellEnd"/>
          </w:p>
          <w:p w14:paraId="0AD497D5" w14:textId="495E9AFC" w:rsidR="00097FB4" w:rsidRPr="00097FB4" w:rsidRDefault="00097FB4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18D182ED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B4439E" w14:paraId="3027B4AA" w14:textId="77777777">
        <w:tc>
          <w:tcPr>
            <w:tcW w:w="4531" w:type="dxa"/>
          </w:tcPr>
          <w:p w14:paraId="2A14C285" w14:textId="2BE3BB9D" w:rsidR="00D4144D" w:rsidRPr="00097FB4" w:rsidRDefault="00D4144D" w:rsidP="003E52B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The applicant will be 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favourably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considered if in possession of valid, internationally </w:t>
            </w:r>
            <w:proofErr w:type="spellStart"/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recogni</w:t>
            </w:r>
            <w:r w:rsidR="00B4439E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ed</w:t>
            </w:r>
            <w:proofErr w:type="spellEnd"/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certifications (</w:t>
            </w:r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e.g.,</w:t>
            </w:r>
            <w:r w:rsidRPr="00097FB4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the EU Humanitarian Partnership Certificate) and/or have achieved good results in partner assessments by other major international donors. </w:t>
            </w:r>
            <w:r w:rsidRPr="00097FB4">
              <w:rPr>
                <w:rStyle w:val="normaltextrun"/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  <w:p w14:paraId="4D6311EA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6CB3288E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  <w:tr w:rsidR="005F559A" w:rsidRPr="00097FB4" w14:paraId="13A5F7EE" w14:textId="77777777">
        <w:tc>
          <w:tcPr>
            <w:tcW w:w="14170" w:type="dxa"/>
            <w:gridSpan w:val="2"/>
            <w:shd w:val="clear" w:color="auto" w:fill="D9E2F3" w:themeFill="accent1" w:themeFillTint="33"/>
          </w:tcPr>
          <w:p w14:paraId="7E4AB8F1" w14:textId="63230A33" w:rsidR="005F559A" w:rsidRPr="00097FB4" w:rsidRDefault="00CB6760">
            <w:pPr>
              <w:rPr>
                <w:rFonts w:cstheme="minorHAnsi"/>
                <w:b/>
                <w:bCs/>
              </w:rPr>
            </w:pPr>
            <w:proofErr w:type="spellStart"/>
            <w:r w:rsidRPr="00097FB4">
              <w:rPr>
                <w:rFonts w:cstheme="minorHAnsi"/>
                <w:b/>
                <w:bCs/>
              </w:rPr>
              <w:t>Other</w:t>
            </w:r>
            <w:proofErr w:type="spellEnd"/>
            <w:r w:rsidRPr="00097FB4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97FB4">
              <w:rPr>
                <w:rFonts w:cstheme="minorHAnsi"/>
                <w:b/>
                <w:bCs/>
              </w:rPr>
              <w:t>issues</w:t>
            </w:r>
            <w:proofErr w:type="spellEnd"/>
          </w:p>
        </w:tc>
      </w:tr>
      <w:tr w:rsidR="005F559A" w:rsidRPr="00B4439E" w14:paraId="5A21E640" w14:textId="77777777">
        <w:tc>
          <w:tcPr>
            <w:tcW w:w="4531" w:type="dxa"/>
          </w:tcPr>
          <w:p w14:paraId="72473760" w14:textId="4588106D" w:rsidR="005F559A" w:rsidRDefault="00CB6760">
            <w:pPr>
              <w:rPr>
                <w:rFonts w:cstheme="minorHAnsi"/>
                <w:lang w:val="en-US"/>
              </w:rPr>
            </w:pPr>
            <w:r w:rsidRPr="00097FB4">
              <w:rPr>
                <w:rFonts w:cstheme="minorHAnsi"/>
                <w:lang w:val="en-US"/>
              </w:rPr>
              <w:t xml:space="preserve">Kindly provide any other comments that are not directly linked to the topics above. </w:t>
            </w:r>
          </w:p>
          <w:p w14:paraId="5BF7AE7A" w14:textId="77777777" w:rsidR="00097FB4" w:rsidRDefault="00097FB4">
            <w:pPr>
              <w:rPr>
                <w:rFonts w:cstheme="minorHAnsi"/>
                <w:lang w:val="en-US"/>
              </w:rPr>
            </w:pPr>
          </w:p>
          <w:p w14:paraId="77D1C943" w14:textId="77777777" w:rsidR="00097FB4" w:rsidRDefault="00097FB4">
            <w:pPr>
              <w:rPr>
                <w:rFonts w:cstheme="minorHAnsi"/>
                <w:lang w:val="en-US"/>
              </w:rPr>
            </w:pPr>
          </w:p>
          <w:p w14:paraId="61251B08" w14:textId="47ED5B3B" w:rsidR="00097FB4" w:rsidRPr="00097FB4" w:rsidRDefault="00097FB4">
            <w:pPr>
              <w:rPr>
                <w:rFonts w:cstheme="minorHAnsi"/>
                <w:lang w:val="en-US"/>
              </w:rPr>
            </w:pPr>
          </w:p>
        </w:tc>
        <w:tc>
          <w:tcPr>
            <w:tcW w:w="9639" w:type="dxa"/>
          </w:tcPr>
          <w:p w14:paraId="678AFD3C" w14:textId="77777777" w:rsidR="005F559A" w:rsidRPr="00097FB4" w:rsidRDefault="005F559A">
            <w:pPr>
              <w:rPr>
                <w:rFonts w:cstheme="minorHAnsi"/>
                <w:lang w:val="en-US"/>
              </w:rPr>
            </w:pPr>
          </w:p>
        </w:tc>
      </w:tr>
    </w:tbl>
    <w:p w14:paraId="618AFDF7" w14:textId="77777777" w:rsidR="005F559A" w:rsidRPr="00097FB4" w:rsidRDefault="005F559A" w:rsidP="005F559A">
      <w:pPr>
        <w:rPr>
          <w:rFonts w:cstheme="minorHAnsi"/>
          <w:lang w:val="en-US"/>
        </w:rPr>
      </w:pPr>
    </w:p>
    <w:p w14:paraId="78D04469" w14:textId="77777777" w:rsidR="001E3429" w:rsidRPr="00097FB4" w:rsidRDefault="001E3429">
      <w:pPr>
        <w:rPr>
          <w:rFonts w:cstheme="minorHAnsi"/>
          <w:lang w:val="en-US"/>
        </w:rPr>
      </w:pPr>
    </w:p>
    <w:sectPr w:rsidR="001E3429" w:rsidRPr="00097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692"/>
    <w:multiLevelType w:val="hybridMultilevel"/>
    <w:tmpl w:val="078A74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09D5"/>
    <w:multiLevelType w:val="hybridMultilevel"/>
    <w:tmpl w:val="9FBEA9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6E6E"/>
    <w:multiLevelType w:val="hybridMultilevel"/>
    <w:tmpl w:val="584CC080"/>
    <w:lvl w:ilvl="0" w:tplc="EEB431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64212">
    <w:abstractNumId w:val="0"/>
  </w:num>
  <w:num w:numId="2" w16cid:durableId="211037106">
    <w:abstractNumId w:val="2"/>
  </w:num>
  <w:num w:numId="3" w16cid:durableId="145597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9A"/>
    <w:rsid w:val="00037DDF"/>
    <w:rsid w:val="00050DEE"/>
    <w:rsid w:val="00097FB4"/>
    <w:rsid w:val="000C577D"/>
    <w:rsid w:val="000F4823"/>
    <w:rsid w:val="001676B5"/>
    <w:rsid w:val="001A7197"/>
    <w:rsid w:val="001E3429"/>
    <w:rsid w:val="00214DC0"/>
    <w:rsid w:val="00242554"/>
    <w:rsid w:val="00283BD0"/>
    <w:rsid w:val="002D114F"/>
    <w:rsid w:val="002D22DC"/>
    <w:rsid w:val="00336AD5"/>
    <w:rsid w:val="003E52BC"/>
    <w:rsid w:val="0044139A"/>
    <w:rsid w:val="005156FE"/>
    <w:rsid w:val="00546627"/>
    <w:rsid w:val="00560521"/>
    <w:rsid w:val="0057016B"/>
    <w:rsid w:val="005B1A01"/>
    <w:rsid w:val="005D76B8"/>
    <w:rsid w:val="005F559A"/>
    <w:rsid w:val="006D3F6C"/>
    <w:rsid w:val="006F3743"/>
    <w:rsid w:val="0077321E"/>
    <w:rsid w:val="00793455"/>
    <w:rsid w:val="007A2547"/>
    <w:rsid w:val="009850AF"/>
    <w:rsid w:val="009B2BD8"/>
    <w:rsid w:val="009C4E24"/>
    <w:rsid w:val="009F5B57"/>
    <w:rsid w:val="00A3183D"/>
    <w:rsid w:val="00A346DA"/>
    <w:rsid w:val="00B4439E"/>
    <w:rsid w:val="00BA7FD2"/>
    <w:rsid w:val="00BE7273"/>
    <w:rsid w:val="00C14891"/>
    <w:rsid w:val="00C47155"/>
    <w:rsid w:val="00CB3297"/>
    <w:rsid w:val="00CB6760"/>
    <w:rsid w:val="00CF3C7F"/>
    <w:rsid w:val="00D02369"/>
    <w:rsid w:val="00D4144D"/>
    <w:rsid w:val="00D52402"/>
    <w:rsid w:val="00DA77A4"/>
    <w:rsid w:val="00DC2F91"/>
    <w:rsid w:val="00DD2622"/>
    <w:rsid w:val="00D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A541"/>
  <w15:chartTrackingRefBased/>
  <w15:docId w15:val="{F13ED012-DEDA-4ED0-A696-91C3902F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9A"/>
  </w:style>
  <w:style w:type="paragraph" w:styleId="Heading1">
    <w:name w:val="heading 1"/>
    <w:basedOn w:val="Normal"/>
    <w:next w:val="Normal"/>
    <w:link w:val="Heading1Char"/>
    <w:uiPriority w:val="9"/>
    <w:qFormat/>
    <w:rsid w:val="00A31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55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F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59A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8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2BD8"/>
    <w:pPr>
      <w:ind w:left="720"/>
      <w:contextualSpacing/>
    </w:pPr>
  </w:style>
  <w:style w:type="paragraph" w:customStyle="1" w:styleId="paragraph">
    <w:name w:val="paragraph"/>
    <w:basedOn w:val="Normal"/>
    <w:rsid w:val="00D4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character" w:customStyle="1" w:styleId="normaltextrun">
    <w:name w:val="normaltextrun"/>
    <w:basedOn w:val="DefaultParagraphFont"/>
    <w:rsid w:val="00D4144D"/>
  </w:style>
  <w:style w:type="character" w:customStyle="1" w:styleId="eop">
    <w:name w:val="eop"/>
    <w:basedOn w:val="DefaultParagraphFont"/>
    <w:rsid w:val="00CB3297"/>
  </w:style>
  <w:style w:type="paragraph" w:styleId="Revision">
    <w:name w:val="Revision"/>
    <w:hidden/>
    <w:uiPriority w:val="99"/>
    <w:semiHidden/>
    <w:rsid w:val="006F374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4a7df-db2d-43fe-9488-6898f6261b3c" xsi:nil="true"/>
    <lcf76f155ced4ddcb4097134ff3c332f xmlns="48c6c69e-3640-422e-bb7b-e4c524d3d1e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5F8E51A6C5044985E57714BD8379B" ma:contentTypeVersion="16" ma:contentTypeDescription="Create a new document." ma:contentTypeScope="" ma:versionID="074cee5bf9ce1b218c8f1d63eee20c40">
  <xsd:schema xmlns:xsd="http://www.w3.org/2001/XMLSchema" xmlns:xs="http://www.w3.org/2001/XMLSchema" xmlns:p="http://schemas.microsoft.com/office/2006/metadata/properties" xmlns:ns2="48c6c69e-3640-422e-bb7b-e4c524d3d1e2" xmlns:ns3="b254a7df-db2d-43fe-9488-6898f6261b3c" targetNamespace="http://schemas.microsoft.com/office/2006/metadata/properties" ma:root="true" ma:fieldsID="d3ffdc1cde4c8b74f2f121b57333635d" ns2:_="" ns3:_="">
    <xsd:import namespace="48c6c69e-3640-422e-bb7b-e4c524d3d1e2"/>
    <xsd:import namespace="b254a7df-db2d-43fe-9488-6898f6261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6c69e-3640-422e-bb7b-e4c524d3d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4a7df-db2d-43fe-9488-6898f6261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3a301f-f965-47d8-97cd-53433f8ec38e}" ma:internalName="TaxCatchAll" ma:showField="CatchAllData" ma:web="b254a7df-db2d-43fe-9488-6898f626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D540E-88FF-4FF4-A5AB-3FB708702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7FEB-AF74-4E48-9B5C-29BB2D6A3DD9}">
  <ds:schemaRefs>
    <ds:schemaRef ds:uri="http://schemas.microsoft.com/office/2006/metadata/properties"/>
    <ds:schemaRef ds:uri="http://schemas.microsoft.com/office/infopath/2007/PartnerControls"/>
    <ds:schemaRef ds:uri="b254a7df-db2d-43fe-9488-6898f6261b3c"/>
    <ds:schemaRef ds:uri="48c6c69e-3640-422e-bb7b-e4c524d3d1e2"/>
  </ds:schemaRefs>
</ds:datastoreItem>
</file>

<file path=customXml/itemProps3.xml><?xml version="1.0" encoding="utf-8"?>
<ds:datastoreItem xmlns:ds="http://schemas.openxmlformats.org/officeDocument/2006/customXml" ds:itemID="{00AF5FF6-2B48-4F45-8EAD-2B942E283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6c69e-3640-422e-bb7b-e4c524d3d1e2"/>
    <ds:schemaRef ds:uri="b254a7df-db2d-43fe-9488-6898f6261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517</Words>
  <Characters>2949</Characters>
  <Application>Microsoft Office Word</Application>
  <DocSecurity>4</DocSecurity>
  <Lines>24</Lines>
  <Paragraphs>6</Paragraphs>
  <ScaleCrop>false</ScaleCrop>
  <Company>Norwegian Ministry of Foreign Affairs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Janne Horgheim</dc:creator>
  <cp:keywords/>
  <dc:description/>
  <cp:lastModifiedBy>Andresen, Janne Horgheim</cp:lastModifiedBy>
  <cp:revision>44</cp:revision>
  <dcterms:created xsi:type="dcterms:W3CDTF">2022-10-13T02:06:00Z</dcterms:created>
  <dcterms:modified xsi:type="dcterms:W3CDTF">2022-10-13T16:14:00Z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0x0101007D25F8E51A6C5044985E57714BD8379B</vt:lpwstr>
  </property>
  <property fmtid="{D5CDD505-2E9C-101B-9397-08002B2CF9AE}" pid="3" name="MediaServiceImageTags">
    <vt:lpwstr/>
  </property>
</Properties>
</file>