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2A644" w14:textId="14AC350E" w:rsidR="00BB0D2E" w:rsidRPr="008332B8" w:rsidRDefault="00BB0D2E" w:rsidP="00BB0D2E">
      <w:pPr>
        <w:spacing w:before="240" w:after="240"/>
        <w:jc w:val="center"/>
        <w:rPr>
          <w:rFonts w:ascii="Calibri" w:hAnsi="Calibri" w:cs="Calibri"/>
          <w:b/>
          <w:bCs/>
          <w:sz w:val="32"/>
          <w:szCs w:val="32"/>
          <w:lang w:val="en-GB"/>
        </w:rPr>
      </w:pPr>
      <w:r w:rsidRPr="008332B8">
        <w:rPr>
          <w:rFonts w:ascii="Calibri" w:hAnsi="Calibri" w:cs="Calibri"/>
          <w:b/>
          <w:bCs/>
          <w:sz w:val="32"/>
          <w:szCs w:val="32"/>
        </w:rPr>
        <w:t>The Future of Data: Strengthening</w:t>
      </w:r>
      <w:r w:rsidRPr="008332B8">
        <w:rPr>
          <w:rFonts w:ascii="Calibri" w:hAnsi="Calibri" w:cs="Calibri"/>
          <w:b/>
          <w:bCs/>
          <w:sz w:val="32"/>
          <w:szCs w:val="32"/>
          <w:lang w:val="en-GB"/>
        </w:rPr>
        <w:t xml:space="preserve"> </w:t>
      </w:r>
      <w:r w:rsidR="00B72683" w:rsidRPr="008332B8">
        <w:rPr>
          <w:rFonts w:ascii="Calibri" w:hAnsi="Calibri" w:cs="Calibri"/>
          <w:b/>
          <w:bCs/>
          <w:sz w:val="32"/>
          <w:szCs w:val="32"/>
          <w:lang w:val="en-GB"/>
        </w:rPr>
        <w:t>Systems</w:t>
      </w:r>
      <w:r w:rsidRPr="008332B8">
        <w:rPr>
          <w:rFonts w:ascii="Calibri" w:hAnsi="Calibri" w:cs="Calibri"/>
          <w:b/>
          <w:bCs/>
          <w:sz w:val="32"/>
          <w:szCs w:val="32"/>
          <w:lang w:val="en-GB"/>
        </w:rPr>
        <w:t xml:space="preserve"> for Sustainable Financing</w:t>
      </w:r>
    </w:p>
    <w:p w14:paraId="00200138" w14:textId="62AE598F" w:rsidR="00DF7CC8" w:rsidRPr="001C6157" w:rsidRDefault="0051157A" w:rsidP="008332B8">
      <w:pPr>
        <w:spacing w:before="240" w:after="240"/>
        <w:jc w:val="center"/>
        <w:rPr>
          <w:rFonts w:ascii="Calibri" w:hAnsi="Calibri" w:cs="Calibri"/>
          <w:b/>
          <w:bCs/>
          <w:sz w:val="28"/>
          <w:szCs w:val="28"/>
        </w:rPr>
      </w:pPr>
      <w:r w:rsidRPr="001C6157">
        <w:rPr>
          <w:rFonts w:ascii="Calibri" w:hAnsi="Calibri" w:cs="Calibri"/>
          <w:b/>
          <w:bCs/>
          <w:sz w:val="28"/>
          <w:szCs w:val="28"/>
        </w:rPr>
        <w:t>Top Level Recommendations</w:t>
      </w:r>
    </w:p>
    <w:p w14:paraId="05958E82" w14:textId="299F677F" w:rsidR="00B646C7" w:rsidRPr="00C7780E" w:rsidRDefault="00B646C7" w:rsidP="008332B8">
      <w:pPr>
        <w:pStyle w:val="ListParagraph"/>
        <w:numPr>
          <w:ilvl w:val="0"/>
          <w:numId w:val="14"/>
        </w:numPr>
        <w:spacing w:line="240" w:lineRule="auto"/>
        <w:jc w:val="center"/>
        <w:rPr>
          <w:rFonts w:ascii="Calibri" w:hAnsi="Calibri" w:cs="Calibri"/>
          <w:b/>
          <w:bCs/>
          <w:sz w:val="24"/>
          <w:szCs w:val="24"/>
        </w:rPr>
      </w:pPr>
      <w:r w:rsidRPr="00C7780E">
        <w:rPr>
          <w:rFonts w:ascii="Calibri" w:hAnsi="Calibri" w:cs="Calibri"/>
          <w:b/>
          <w:bCs/>
          <w:sz w:val="24"/>
          <w:szCs w:val="24"/>
        </w:rPr>
        <w:t>Consider data and statistics as a public good</w:t>
      </w:r>
    </w:p>
    <w:p w14:paraId="4C8F0113" w14:textId="7BE43D0D" w:rsidR="00DF7CC8" w:rsidRPr="003B5183" w:rsidRDefault="00433B07" w:rsidP="008332B8">
      <w:pPr>
        <w:pStyle w:val="ListParagraph"/>
        <w:numPr>
          <w:ilvl w:val="0"/>
          <w:numId w:val="14"/>
        </w:numPr>
        <w:jc w:val="center"/>
        <w:rPr>
          <w:rFonts w:ascii="Calibri" w:hAnsi="Calibri" w:cs="Calibri"/>
          <w:b/>
          <w:bCs/>
          <w:sz w:val="24"/>
          <w:szCs w:val="24"/>
        </w:rPr>
      </w:pPr>
      <w:r w:rsidRPr="003B5183">
        <w:rPr>
          <w:rFonts w:ascii="Calibri" w:hAnsi="Calibri" w:cs="Calibri"/>
          <w:b/>
          <w:bCs/>
          <w:sz w:val="24"/>
          <w:szCs w:val="24"/>
        </w:rPr>
        <w:t>Improve national data and statistics system coordination</w:t>
      </w:r>
    </w:p>
    <w:p w14:paraId="73CC8827" w14:textId="4DF13E58" w:rsidR="00DF7CC8" w:rsidRPr="003B5183" w:rsidRDefault="00E60963" w:rsidP="008332B8">
      <w:pPr>
        <w:pStyle w:val="ListParagraph"/>
        <w:numPr>
          <w:ilvl w:val="0"/>
          <w:numId w:val="14"/>
        </w:numPr>
        <w:jc w:val="center"/>
        <w:rPr>
          <w:rFonts w:ascii="Calibri" w:hAnsi="Calibri" w:cs="Calibri"/>
          <w:sz w:val="24"/>
          <w:szCs w:val="24"/>
        </w:rPr>
      </w:pPr>
      <w:r w:rsidRPr="003B5183">
        <w:rPr>
          <w:rFonts w:ascii="Calibri" w:hAnsi="Calibri" w:cs="Calibri"/>
          <w:b/>
          <w:bCs/>
          <w:sz w:val="24"/>
          <w:szCs w:val="24"/>
        </w:rPr>
        <w:t xml:space="preserve">Strengthen </w:t>
      </w:r>
      <w:r w:rsidR="00C766E6" w:rsidRPr="003B5183">
        <w:rPr>
          <w:rFonts w:ascii="Calibri" w:hAnsi="Calibri" w:cs="Calibri"/>
          <w:b/>
          <w:bCs/>
          <w:sz w:val="24"/>
          <w:szCs w:val="24"/>
        </w:rPr>
        <w:t xml:space="preserve">data </w:t>
      </w:r>
      <w:r w:rsidRPr="003B5183">
        <w:rPr>
          <w:rFonts w:ascii="Calibri" w:hAnsi="Calibri" w:cs="Calibri"/>
          <w:b/>
          <w:bCs/>
          <w:sz w:val="24"/>
          <w:szCs w:val="24"/>
        </w:rPr>
        <w:t>governance</w:t>
      </w:r>
      <w:r w:rsidR="00C766E6" w:rsidRPr="003B5183">
        <w:rPr>
          <w:rFonts w:ascii="Calibri" w:hAnsi="Calibri" w:cs="Calibri"/>
          <w:b/>
          <w:bCs/>
          <w:sz w:val="24"/>
          <w:szCs w:val="24"/>
        </w:rPr>
        <w:t xml:space="preserve"> and innovation</w:t>
      </w:r>
    </w:p>
    <w:p w14:paraId="630EE0E8" w14:textId="717FB19A" w:rsidR="00DF7CC8" w:rsidRPr="003B5183" w:rsidRDefault="0051157A" w:rsidP="008332B8">
      <w:pPr>
        <w:pStyle w:val="ListParagraph"/>
        <w:numPr>
          <w:ilvl w:val="0"/>
          <w:numId w:val="14"/>
        </w:numPr>
        <w:jc w:val="center"/>
        <w:rPr>
          <w:rFonts w:ascii="Calibri" w:hAnsi="Calibri" w:cs="Calibri"/>
          <w:b/>
          <w:bCs/>
          <w:sz w:val="24"/>
          <w:szCs w:val="24"/>
        </w:rPr>
      </w:pPr>
      <w:r w:rsidRPr="003B5183">
        <w:rPr>
          <w:rFonts w:ascii="Calibri" w:hAnsi="Calibri" w:cs="Calibri"/>
          <w:b/>
          <w:bCs/>
          <w:sz w:val="24"/>
          <w:szCs w:val="24"/>
        </w:rPr>
        <w:t xml:space="preserve">Invest in </w:t>
      </w:r>
      <w:r w:rsidR="00C766E6" w:rsidRPr="003B5183">
        <w:rPr>
          <w:rFonts w:ascii="Calibri" w:hAnsi="Calibri" w:cs="Calibri"/>
          <w:b/>
          <w:bCs/>
          <w:sz w:val="24"/>
          <w:szCs w:val="24"/>
        </w:rPr>
        <w:t xml:space="preserve">national </w:t>
      </w:r>
      <w:r w:rsidRPr="003B5183">
        <w:rPr>
          <w:rFonts w:ascii="Calibri" w:hAnsi="Calibri" w:cs="Calibri"/>
          <w:b/>
          <w:bCs/>
          <w:sz w:val="24"/>
          <w:szCs w:val="24"/>
        </w:rPr>
        <w:t>data and statistic</w:t>
      </w:r>
      <w:r w:rsidR="00885619" w:rsidRPr="003B5183">
        <w:rPr>
          <w:rFonts w:ascii="Calibri" w:hAnsi="Calibri" w:cs="Calibri"/>
          <w:b/>
          <w:bCs/>
          <w:sz w:val="24"/>
          <w:szCs w:val="24"/>
        </w:rPr>
        <w:t>s capacity</w:t>
      </w:r>
    </w:p>
    <w:p w14:paraId="23B25574" w14:textId="0CF91E97" w:rsidR="00DF7CC8" w:rsidRPr="00EF232A" w:rsidRDefault="00DF5A39">
      <w:pPr>
        <w:spacing w:before="240" w:after="240"/>
        <w:rPr>
          <w:rFonts w:ascii="Calibri" w:eastAsia="Times New Roman" w:hAnsi="Calibri" w:cs="Calibri"/>
          <w:sz w:val="24"/>
          <w:szCs w:val="24"/>
        </w:rPr>
      </w:pPr>
      <w:r>
        <w:rPr>
          <w:rFonts w:ascii="Calibri" w:hAnsi="Calibri" w:cs="Calibri"/>
          <w:b/>
          <w:bCs/>
          <w:noProof/>
          <w:sz w:val="24"/>
          <w:szCs w:val="24"/>
        </w:rPr>
        <mc:AlternateContent>
          <mc:Choice Requires="wps">
            <w:drawing>
              <wp:anchor distT="0" distB="0" distL="114300" distR="114300" simplePos="0" relativeHeight="251659264" behindDoc="1" locked="0" layoutInCell="1" allowOverlap="1" wp14:anchorId="4C172C2B" wp14:editId="0EB19FB3">
                <wp:simplePos x="0" y="0"/>
                <wp:positionH relativeFrom="margin">
                  <wp:align>right</wp:align>
                </wp:positionH>
                <wp:positionV relativeFrom="paragraph">
                  <wp:posOffset>463550</wp:posOffset>
                </wp:positionV>
                <wp:extent cx="6286500" cy="323850"/>
                <wp:effectExtent l="57150" t="19050" r="76200" b="95250"/>
                <wp:wrapNone/>
                <wp:docPr id="736699777" name="Rectangle 2"/>
                <wp:cNvGraphicFramePr/>
                <a:graphic xmlns:a="http://schemas.openxmlformats.org/drawingml/2006/main">
                  <a:graphicData uri="http://schemas.microsoft.com/office/word/2010/wordprocessingShape">
                    <wps:wsp>
                      <wps:cNvSpPr/>
                      <wps:spPr>
                        <a:xfrm>
                          <a:off x="0" y="0"/>
                          <a:ext cx="6286500" cy="323850"/>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E6492" id="Rectangle 2" o:spid="_x0000_s1026" style="position:absolute;margin-left:443.8pt;margin-top:36.5pt;width:495pt;height:25.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" fillcolor="#4f81bd [3204]" strokecolor="#4579b8 [3044]">
                <v:fill color2="#a7bfde [1620]" rotate="t" angle="180" focus="100%" type="gradient">
                  <o:fill v:ext="view" type="gradientUnscaled"/>
                </v:fill>
                <v:shadow on="t" color="black" opacity="22937f" origin=",.5" offset="0,.63889mm"/>
                <w10:wrap anchorx="margin"/>
              </v:rect>
            </w:pict>
          </mc:Fallback>
        </mc:AlternateContent>
      </w:r>
      <w:r w:rsidR="008A3E99">
        <w:rPr>
          <w:rFonts w:ascii="Calibri" w:hAnsi="Calibri" w:cs="Calibri"/>
          <w:b/>
          <w:bCs/>
          <w:sz w:val="24"/>
          <w:szCs w:val="24"/>
        </w:rPr>
        <w:t xml:space="preserve">PRACTICAL EXAMPLES </w:t>
      </w:r>
      <w:r w:rsidR="003B5183">
        <w:rPr>
          <w:rFonts w:ascii="Calibri" w:hAnsi="Calibri" w:cs="Calibri"/>
          <w:b/>
          <w:bCs/>
          <w:sz w:val="24"/>
          <w:szCs w:val="24"/>
        </w:rPr>
        <w:t>AND STORIES</w:t>
      </w:r>
    </w:p>
    <w:p w14:paraId="22F4CCFC" w14:textId="2106DB40" w:rsidR="003B5183" w:rsidRDefault="003B5183">
      <w:pPr>
        <w:spacing w:line="240" w:lineRule="auto"/>
        <w:rPr>
          <w:rFonts w:ascii="Calibri" w:eastAsia="Calibri" w:hAnsi="Calibri" w:cs="Calibri"/>
          <w:b/>
          <w:bCs/>
          <w:sz w:val="24"/>
          <w:szCs w:val="24"/>
        </w:rPr>
      </w:pPr>
      <w:r w:rsidRPr="003B5183">
        <w:rPr>
          <w:rFonts w:ascii="Calibri" w:eastAsia="Calibri" w:hAnsi="Calibri" w:cs="Calibri"/>
          <w:b/>
          <w:bCs/>
          <w:sz w:val="24"/>
          <w:szCs w:val="24"/>
        </w:rPr>
        <w:t>Recommendation 1: Consider data and statistics as a public good</w:t>
      </w:r>
    </w:p>
    <w:p w14:paraId="18DE8707" w14:textId="20D72550" w:rsidR="00AF59BD" w:rsidRPr="00FB349F" w:rsidRDefault="00AF59BD" w:rsidP="00FB349F">
      <w:pPr>
        <w:spacing w:line="240" w:lineRule="auto"/>
        <w:rPr>
          <w:rFonts w:ascii="Calibri" w:eastAsia="Calibri" w:hAnsi="Calibri" w:cs="Calibri"/>
          <w:b/>
          <w:bCs/>
          <w:sz w:val="24"/>
          <w:szCs w:val="24"/>
        </w:rPr>
      </w:pPr>
    </w:p>
    <w:p w14:paraId="3DC5017B" w14:textId="47581305" w:rsidR="00AF59BD" w:rsidRDefault="00AF59BD" w:rsidP="00AF59BD">
      <w:pPr>
        <w:pStyle w:val="NormalWeb"/>
        <w:spacing w:before="0" w:beforeAutospacing="0" w:after="0" w:afterAutospacing="0"/>
      </w:pPr>
      <w:r>
        <w:rPr>
          <w:rFonts w:ascii="Calibri" w:hAnsi="Calibri" w:cs="Calibri"/>
          <w:b/>
          <w:bCs/>
          <w:color w:val="000000"/>
        </w:rPr>
        <w:t>Enabling policy relevant research in South Africa</w:t>
      </w:r>
    </w:p>
    <w:p w14:paraId="49D6AF43" w14:textId="77777777" w:rsidR="00AF59BD" w:rsidRPr="003325C2" w:rsidRDefault="00AF59BD" w:rsidP="00AF59BD">
      <w:pPr>
        <w:pStyle w:val="NormalWeb"/>
        <w:spacing w:before="0" w:beforeAutospacing="0" w:after="0" w:afterAutospacing="0"/>
        <w:rPr>
          <w:rFonts w:ascii="Arial" w:hAnsi="Arial" w:cs="Arial"/>
          <w:sz w:val="22"/>
          <w:szCs w:val="22"/>
        </w:rPr>
      </w:pPr>
      <w:hyperlink r:id="rId7" w:history="1">
        <w:r w:rsidRPr="003325C2">
          <w:rPr>
            <w:rStyle w:val="Hyperlink"/>
            <w:rFonts w:ascii="Arial" w:hAnsi="Arial" w:cs="Arial"/>
            <w:color w:val="1155CC"/>
            <w:sz w:val="22"/>
            <w:szCs w:val="22"/>
          </w:rPr>
          <w:t>South Africa’s National Treasury Secure Data Facility</w:t>
        </w:r>
      </w:hyperlink>
      <w:r w:rsidRPr="003325C2">
        <w:rPr>
          <w:rFonts w:ascii="Arial" w:hAnsi="Arial" w:cs="Arial"/>
          <w:color w:val="000000"/>
          <w:sz w:val="22"/>
          <w:szCs w:val="22"/>
        </w:rPr>
        <w:t xml:space="preserve"> shows how treating data collected for administrative purposes as a public good—while managing risk—can transform policymaking. By enabling controlled, de</w:t>
      </w:r>
      <w:r w:rsidRPr="003325C2">
        <w:rPr>
          <w:rFonts w:ascii="Arial" w:hAnsi="Arial" w:cs="Arial"/>
          <w:color w:val="000000"/>
          <w:sz w:val="22"/>
          <w:szCs w:val="22"/>
        </w:rPr>
        <w:noBreakHyphen/>
        <w:t>identified access to linked tax microdata, the Facility has unlocked a growing body of policy</w:t>
      </w:r>
      <w:r w:rsidRPr="003325C2">
        <w:rPr>
          <w:rFonts w:ascii="Arial" w:hAnsi="Arial" w:cs="Arial"/>
          <w:color w:val="000000"/>
          <w:sz w:val="22"/>
          <w:szCs w:val="22"/>
        </w:rPr>
        <w:noBreakHyphen/>
        <w:t xml:space="preserve">relevant research that informs not only fiscal policy in ways not possible through traditional data alone. The data housed in the Facility have, for example, informed the government on </w:t>
      </w:r>
      <w:hyperlink r:id="rId8" w:history="1">
        <w:r w:rsidRPr="003325C2">
          <w:rPr>
            <w:rStyle w:val="Hyperlink"/>
            <w:rFonts w:ascii="Arial" w:hAnsi="Arial" w:cs="Arial"/>
            <w:color w:val="1155CC"/>
            <w:sz w:val="22"/>
            <w:szCs w:val="22"/>
          </w:rPr>
          <w:t>corporate income tax reform</w:t>
        </w:r>
      </w:hyperlink>
      <w:r w:rsidRPr="003325C2">
        <w:rPr>
          <w:rFonts w:ascii="Arial" w:hAnsi="Arial" w:cs="Arial"/>
          <w:color w:val="000000"/>
          <w:sz w:val="22"/>
          <w:szCs w:val="22"/>
        </w:rPr>
        <w:t xml:space="preserve"> and </w:t>
      </w:r>
      <w:hyperlink r:id="rId9" w:history="1">
        <w:r w:rsidRPr="003325C2">
          <w:rPr>
            <w:rStyle w:val="Hyperlink"/>
            <w:rFonts w:ascii="Arial" w:hAnsi="Arial" w:cs="Arial"/>
            <w:color w:val="1155CC"/>
            <w:sz w:val="22"/>
            <w:szCs w:val="22"/>
          </w:rPr>
          <w:t>personal income tax reform</w:t>
        </w:r>
      </w:hyperlink>
      <w:r w:rsidRPr="003325C2">
        <w:rPr>
          <w:rFonts w:ascii="Arial" w:hAnsi="Arial" w:cs="Arial"/>
          <w:color w:val="000000"/>
          <w:sz w:val="22"/>
          <w:szCs w:val="22"/>
        </w:rPr>
        <w:t xml:space="preserve">, on the performance of </w:t>
      </w:r>
      <w:hyperlink r:id="rId10" w:history="1">
        <w:r w:rsidRPr="003325C2">
          <w:rPr>
            <w:rStyle w:val="Hyperlink"/>
            <w:rFonts w:ascii="Arial" w:hAnsi="Arial" w:cs="Arial"/>
            <w:color w:val="1155CC"/>
            <w:sz w:val="22"/>
            <w:szCs w:val="22"/>
          </w:rPr>
          <w:t>tax incentives for firms to create jobs for youth</w:t>
        </w:r>
      </w:hyperlink>
      <w:r w:rsidRPr="003325C2">
        <w:rPr>
          <w:rFonts w:ascii="Arial" w:hAnsi="Arial" w:cs="Arial"/>
          <w:color w:val="000000"/>
          <w:sz w:val="22"/>
          <w:szCs w:val="22"/>
        </w:rPr>
        <w:t xml:space="preserve"> and they led SARS in developing </w:t>
      </w:r>
      <w:hyperlink r:id="rId11" w:history="1">
        <w:r w:rsidRPr="003325C2">
          <w:rPr>
            <w:rStyle w:val="Hyperlink"/>
            <w:rFonts w:ascii="Arial" w:hAnsi="Arial" w:cs="Arial"/>
            <w:color w:val="1155CC"/>
            <w:sz w:val="22"/>
            <w:szCs w:val="22"/>
          </w:rPr>
          <w:t>new compliance strategies focused on multinationals</w:t>
        </w:r>
      </w:hyperlink>
      <w:r w:rsidRPr="003325C2">
        <w:rPr>
          <w:rFonts w:ascii="Arial" w:hAnsi="Arial" w:cs="Arial"/>
          <w:color w:val="000000"/>
          <w:sz w:val="22"/>
          <w:szCs w:val="22"/>
        </w:rPr>
        <w:t>.  Clear governance, strong documentation, and transparent access protocols have allowed sensitive data to be accessed responsibly, demonstrating that proactive data use strengthens both evidence</w:t>
      </w:r>
      <w:r w:rsidRPr="003325C2">
        <w:rPr>
          <w:rFonts w:ascii="Arial" w:hAnsi="Arial" w:cs="Arial"/>
          <w:color w:val="000000"/>
          <w:sz w:val="22"/>
          <w:szCs w:val="22"/>
        </w:rPr>
        <w:noBreakHyphen/>
        <w:t>based decision</w:t>
      </w:r>
      <w:r w:rsidRPr="003325C2">
        <w:rPr>
          <w:rFonts w:ascii="Arial" w:hAnsi="Arial" w:cs="Arial"/>
          <w:color w:val="000000"/>
          <w:sz w:val="22"/>
          <w:szCs w:val="22"/>
        </w:rPr>
        <w:noBreakHyphen/>
        <w:t xml:space="preserve">making and trust rather than undermining them. Since its establishment the Facility anchors a wider research community that supports data driven policymaking, for example combining administrative tax data with </w:t>
      </w:r>
      <w:hyperlink r:id="rId12" w:history="1">
        <w:r w:rsidRPr="003325C2">
          <w:rPr>
            <w:rStyle w:val="Hyperlink"/>
            <w:rFonts w:ascii="Arial" w:hAnsi="Arial" w:cs="Arial"/>
            <w:color w:val="1155CC"/>
            <w:sz w:val="22"/>
            <w:szCs w:val="22"/>
          </w:rPr>
          <w:t>spatial economic activity</w:t>
        </w:r>
      </w:hyperlink>
      <w:r w:rsidRPr="003325C2">
        <w:rPr>
          <w:rFonts w:ascii="Arial" w:hAnsi="Arial" w:cs="Arial"/>
          <w:color w:val="000000"/>
          <w:sz w:val="22"/>
          <w:szCs w:val="22"/>
        </w:rPr>
        <w:t xml:space="preserve">, made available through an open access data portal. Building on these experiences the data facility continues to breaking down data silos and adding new datasets, embedded into the broader context of </w:t>
      </w:r>
      <w:hyperlink r:id="rId13" w:history="1">
        <w:r w:rsidRPr="003325C2">
          <w:rPr>
            <w:rStyle w:val="Hyperlink"/>
            <w:rFonts w:ascii="Arial" w:hAnsi="Arial" w:cs="Arial"/>
            <w:color w:val="1155CC"/>
            <w:sz w:val="22"/>
            <w:szCs w:val="22"/>
          </w:rPr>
          <w:t>South Africa’s digital transformation roadmap</w:t>
        </w:r>
      </w:hyperlink>
      <w:r w:rsidRPr="003325C2">
        <w:rPr>
          <w:rFonts w:ascii="Arial" w:hAnsi="Arial" w:cs="Arial"/>
          <w:color w:val="000000"/>
          <w:sz w:val="22"/>
          <w:szCs w:val="22"/>
        </w:rPr>
        <w:t>.</w:t>
      </w:r>
    </w:p>
    <w:p w14:paraId="16096FBA" w14:textId="77777777" w:rsidR="003325C2" w:rsidRPr="003325C2" w:rsidRDefault="003325C2" w:rsidP="003325C2">
      <w:pPr>
        <w:spacing w:line="240" w:lineRule="auto"/>
        <w:rPr>
          <w:rFonts w:ascii="Times New Roman" w:eastAsia="Times New Roman" w:hAnsi="Times New Roman" w:cs="Times New Roman"/>
          <w:sz w:val="24"/>
          <w:szCs w:val="24"/>
          <w:lang w:val="en-US" w:eastAsia="en-US"/>
        </w:rPr>
      </w:pPr>
    </w:p>
    <w:p w14:paraId="60FF85DF" w14:textId="77777777" w:rsidR="005D57CA" w:rsidRDefault="005D57CA" w:rsidP="005D57CA">
      <w:pPr>
        <w:pStyle w:val="NormalWeb"/>
        <w:spacing w:before="0" w:beforeAutospacing="0" w:after="0" w:afterAutospacing="0"/>
      </w:pPr>
      <w:r>
        <w:rPr>
          <w:rFonts w:ascii="Arial" w:hAnsi="Arial" w:cs="Arial"/>
          <w:b/>
          <w:bCs/>
          <w:color w:val="000000"/>
          <w:sz w:val="22"/>
          <w:szCs w:val="22"/>
        </w:rPr>
        <w:t>Towards a central registry to understand scope of asset recovery</w:t>
      </w:r>
    </w:p>
    <w:p w14:paraId="45BFB612" w14:textId="77777777" w:rsidR="005D57CA" w:rsidRDefault="005D57CA" w:rsidP="005D57CA">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Nigeria loses an estimated $17 billion annually to money laundering, tax evasion, embezzlement, and other IFFs, yet recovered assets represent only a small fraction of that. A principal reason recovery lags far behind losses is the fragmentation and opacity of data on what has actually been recovered. Asset recovery authority is split across roughly 10 agencies, each of which independently seizes, manages, and reports (or fails to report) on assets. Interagency rivalry rooted in competition over access to recovered assets and political positioning actively suppressed data sharing between agencies. The Inter-government action group against money laundering (GIABA) supported the Center for Fiscal Transparency and Public Integrity to develop an interactive, public Asset Recovery Database, providing a resource for government institutions, researchers, media, and citizens to engage. Increased data availability and transparency enabled reforms and concrete results in tracing and confiscation.</w:t>
      </w:r>
    </w:p>
    <w:p w14:paraId="5E48008B" w14:textId="77777777" w:rsidR="00D73373" w:rsidRDefault="00D73373" w:rsidP="005D57CA">
      <w:pPr>
        <w:pStyle w:val="NormalWeb"/>
        <w:spacing w:before="0" w:beforeAutospacing="0" w:after="0" w:afterAutospacing="0"/>
        <w:rPr>
          <w:rFonts w:ascii="Arial" w:hAnsi="Arial" w:cs="Arial"/>
          <w:color w:val="000000"/>
          <w:sz w:val="22"/>
          <w:szCs w:val="22"/>
        </w:rPr>
      </w:pPr>
    </w:p>
    <w:p w14:paraId="6CADCE31" w14:textId="77777777" w:rsidR="008353FD" w:rsidRPr="008353FD" w:rsidRDefault="008353FD" w:rsidP="008353FD">
      <w:pPr>
        <w:spacing w:line="240" w:lineRule="auto"/>
        <w:rPr>
          <w:rFonts w:ascii="Times New Roman" w:eastAsia="Times New Roman" w:hAnsi="Times New Roman" w:cs="Times New Roman"/>
          <w:sz w:val="24"/>
          <w:szCs w:val="24"/>
          <w:lang w:val="en-US" w:eastAsia="en-US"/>
        </w:rPr>
      </w:pPr>
      <w:hyperlink r:id="rId14" w:anchor="the-challenge-addressing-hidden-ownership-and-enforcement-gaps-in-ghana%E2%80%99s-extractive-sector--20350" w:history="1">
        <w:r w:rsidRPr="008353FD">
          <w:rPr>
            <w:rFonts w:eastAsia="Times New Roman"/>
            <w:b/>
            <w:bCs/>
            <w:color w:val="1155CC"/>
            <w:u w:val="single"/>
            <w:lang w:val="en-US" w:eastAsia="en-US"/>
          </w:rPr>
          <w:t>Beneficial ownership transparency in Armenia</w:t>
        </w:r>
      </w:hyperlink>
    </w:p>
    <w:p w14:paraId="62CC2F80" w14:textId="77777777" w:rsidR="008353FD" w:rsidRDefault="008353FD" w:rsidP="008353FD">
      <w:pPr>
        <w:spacing w:line="240" w:lineRule="auto"/>
        <w:rPr>
          <w:rFonts w:eastAsia="Times New Roman"/>
          <w:color w:val="000000"/>
          <w:lang w:val="en-US" w:eastAsia="en-US"/>
        </w:rPr>
      </w:pPr>
      <w:r w:rsidRPr="008353FD">
        <w:rPr>
          <w:rFonts w:eastAsia="Times New Roman"/>
          <w:color w:val="000000"/>
          <w:lang w:val="en-US" w:eastAsia="en-US"/>
        </w:rPr>
        <w:t xml:space="preserve">Armenia’s mining sector was responsible for around 28% of exports in 2022, thus an important part of the economy. For a long time, the sector was struggling with hidden company ownership, weak public oversight, eroded trust and heightened corruption risks, putting sustainable development and investor </w:t>
      </w:r>
      <w:r w:rsidRPr="008353FD">
        <w:rPr>
          <w:rFonts w:eastAsia="Times New Roman"/>
          <w:color w:val="000000"/>
          <w:lang w:val="en-US" w:eastAsia="en-US"/>
        </w:rPr>
        <w:lastRenderedPageBreak/>
        <w:t>confidence at stake. Following Armenia’s 2018 “Velvet Revolution”, the government made transparency and anti-corruption priorities of its reform agenda and beneficial ownership disclosure became a cornerstone of these efforts. A key action was the launch of a public beneficial ownership register which now covers 120 000 companies across the economy. Civil society and media was trained in the use of this tool and uncovered corruption risks and gaps in public spending. Action was taken, increasing public revenue.</w:t>
      </w:r>
    </w:p>
    <w:p w14:paraId="26F4EBAD" w14:textId="77777777" w:rsidR="008353FD" w:rsidRPr="008353FD" w:rsidRDefault="008353FD" w:rsidP="008353FD">
      <w:pPr>
        <w:spacing w:line="240" w:lineRule="auto"/>
        <w:rPr>
          <w:rFonts w:ascii="Times New Roman" w:eastAsia="Times New Roman" w:hAnsi="Times New Roman" w:cs="Times New Roman"/>
          <w:sz w:val="24"/>
          <w:szCs w:val="24"/>
          <w:lang w:val="en-US" w:eastAsia="en-US"/>
        </w:rPr>
      </w:pPr>
    </w:p>
    <w:p w14:paraId="13B43ACF" w14:textId="77777777" w:rsidR="00D73373" w:rsidRPr="00E273B6" w:rsidRDefault="00D73373" w:rsidP="00D73373">
      <w:pPr>
        <w:pStyle w:val="NormalWeb"/>
        <w:spacing w:before="0" w:beforeAutospacing="0" w:after="0" w:afterAutospacing="0"/>
        <w:rPr>
          <w:rFonts w:ascii="Arial" w:hAnsi="Arial" w:cs="Arial"/>
          <w:sz w:val="22"/>
          <w:szCs w:val="22"/>
        </w:rPr>
      </w:pPr>
      <w:r w:rsidRPr="00E273B6">
        <w:rPr>
          <w:rFonts w:ascii="Arial" w:hAnsi="Arial" w:cs="Arial"/>
          <w:b/>
          <w:bCs/>
          <w:color w:val="000000"/>
          <w:sz w:val="22"/>
          <w:szCs w:val="22"/>
        </w:rPr>
        <w:t>Data showing clear link between service delivery cost and gender-based violence in Palestine</w:t>
      </w:r>
    </w:p>
    <w:p w14:paraId="0440C7AF" w14:textId="77777777" w:rsidR="00D73373" w:rsidRPr="00E273B6" w:rsidRDefault="00D73373" w:rsidP="00D73373">
      <w:pPr>
        <w:pStyle w:val="NormalWeb"/>
        <w:spacing w:before="0" w:beforeAutospacing="0" w:after="0" w:afterAutospacing="0"/>
        <w:rPr>
          <w:rFonts w:ascii="Arial" w:hAnsi="Arial" w:cs="Arial"/>
          <w:sz w:val="22"/>
          <w:szCs w:val="22"/>
        </w:rPr>
      </w:pPr>
      <w:r w:rsidRPr="00E273B6">
        <w:rPr>
          <w:rFonts w:ascii="Arial" w:hAnsi="Arial" w:cs="Arial"/>
          <w:color w:val="000000"/>
          <w:sz w:val="22"/>
          <w:szCs w:val="22"/>
        </w:rPr>
        <w:t>Palestine’s 2019 national gender based violence survey demonstrates how publishing high quality, disaggregated data can fundamentally shift financing and planning decisions. The survey produced the first credible national evidence linking violence to economic participation, service delivery costs, and long term development outcomes. As a result, GBV became visible in medium  and long term planning frameworks, enabling more targeted and cost effective interventions. Without this data, GBV would likely have remained invisible in fiscal discussions, leading to less efficient spending and higher social and economic costs over time.</w:t>
      </w:r>
    </w:p>
    <w:p w14:paraId="25168664" w14:textId="77777777" w:rsidR="00D73373" w:rsidRDefault="00D73373" w:rsidP="005D57CA">
      <w:pPr>
        <w:pStyle w:val="NormalWeb"/>
        <w:spacing w:before="0" w:beforeAutospacing="0" w:after="0" w:afterAutospacing="0"/>
      </w:pPr>
    </w:p>
    <w:p w14:paraId="37DE9DAF" w14:textId="77777777" w:rsidR="00D73373" w:rsidRDefault="00D73373" w:rsidP="00D73373">
      <w:pPr>
        <w:pStyle w:val="NormalWeb"/>
        <w:spacing w:before="0" w:beforeAutospacing="0" w:after="0" w:afterAutospacing="0"/>
      </w:pPr>
      <w:r>
        <w:rPr>
          <w:rFonts w:ascii="Arial" w:hAnsi="Arial" w:cs="Arial"/>
          <w:b/>
          <w:bCs/>
          <w:color w:val="000000"/>
          <w:sz w:val="22"/>
          <w:szCs w:val="22"/>
        </w:rPr>
        <w:t>Open SDG – Publishing SDG data transparently</w:t>
      </w:r>
    </w:p>
    <w:p w14:paraId="725411EC" w14:textId="77777777" w:rsidR="00D73373" w:rsidRDefault="00D73373" w:rsidP="00D73373">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The Open SDG platform shows how publishing data in accessible, </w:t>
      </w:r>
      <w:proofErr w:type="spellStart"/>
      <w:r>
        <w:rPr>
          <w:rFonts w:ascii="Arial" w:hAnsi="Arial" w:cs="Arial"/>
          <w:color w:val="000000"/>
          <w:sz w:val="22"/>
          <w:szCs w:val="22"/>
        </w:rPr>
        <w:t>standardised</w:t>
      </w:r>
      <w:proofErr w:type="spellEnd"/>
      <w:r>
        <w:rPr>
          <w:rFonts w:ascii="Arial" w:hAnsi="Arial" w:cs="Arial"/>
          <w:color w:val="000000"/>
          <w:sz w:val="22"/>
          <w:szCs w:val="22"/>
        </w:rPr>
        <w:t xml:space="preserve"> formats strengthens accountability at low cost. By enabling governments to manage their own SDG data pipelines and publish indicators, metadata, and methods openly, the platform reduces manual reporting burdens while increasing trust in official statistics. Its open source design allows countries to avoid vendor lock in and ensures that data used for global reporting also supports national decision making and public scrutiny.</w:t>
      </w:r>
    </w:p>
    <w:p w14:paraId="309A3965" w14:textId="77777777" w:rsidR="00D73373" w:rsidRDefault="00D73373" w:rsidP="005D57CA">
      <w:pPr>
        <w:pStyle w:val="NormalWeb"/>
        <w:spacing w:before="0" w:beforeAutospacing="0" w:after="0" w:afterAutospacing="0"/>
      </w:pPr>
    </w:p>
    <w:p w14:paraId="148E77DD" w14:textId="77777777" w:rsidR="000547FC" w:rsidRDefault="000547FC" w:rsidP="000547FC">
      <w:pPr>
        <w:pStyle w:val="NormalWeb"/>
        <w:spacing w:before="0" w:beforeAutospacing="0" w:after="0" w:afterAutospacing="0"/>
      </w:pPr>
      <w:r>
        <w:rPr>
          <w:rFonts w:ascii="Arial" w:hAnsi="Arial" w:cs="Arial"/>
          <w:b/>
          <w:bCs/>
          <w:color w:val="000000"/>
          <w:sz w:val="22"/>
          <w:szCs w:val="22"/>
        </w:rPr>
        <w:t>Inclusive Data Charter – Making exclusion visible</w:t>
      </w:r>
    </w:p>
    <w:p w14:paraId="5F5F0621" w14:textId="775AFB60" w:rsidR="00C348B0" w:rsidRDefault="000547FC" w:rsidP="000547FC">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 xml:space="preserve">The Inclusive Data Charter demonstrates how committing to publish disaggregated data changes who is visible in policy and financing decisions. By supporting countries such as Ghana and Kenya to integrate disability, gender, and sub national disaggregation into surveys and administrative systems, the Charter has helped ensure that </w:t>
      </w:r>
      <w:proofErr w:type="spellStart"/>
      <w:r>
        <w:rPr>
          <w:rFonts w:ascii="Arial" w:hAnsi="Arial" w:cs="Arial"/>
          <w:color w:val="000000"/>
          <w:sz w:val="22"/>
          <w:szCs w:val="22"/>
        </w:rPr>
        <w:t>marginalised</w:t>
      </w:r>
      <w:proofErr w:type="spellEnd"/>
      <w:r>
        <w:rPr>
          <w:rFonts w:ascii="Arial" w:hAnsi="Arial" w:cs="Arial"/>
          <w:color w:val="000000"/>
          <w:sz w:val="22"/>
          <w:szCs w:val="22"/>
        </w:rPr>
        <w:t xml:space="preserve"> groups are reflected in official statistics. This enables resources to be allocated more effectively and ensures that growth and development policies are informed by the realities of all population groups, not just national averages.</w:t>
      </w:r>
    </w:p>
    <w:p w14:paraId="4CDD1FA7" w14:textId="77777777" w:rsidR="00C348B0" w:rsidRDefault="00C348B0" w:rsidP="000547FC">
      <w:pPr>
        <w:pStyle w:val="NormalWeb"/>
        <w:spacing w:before="0" w:beforeAutospacing="0" w:after="0" w:afterAutospacing="0"/>
      </w:pPr>
    </w:p>
    <w:p w14:paraId="2BC4ABEC" w14:textId="77777777" w:rsidR="00A846E5" w:rsidRDefault="00A846E5" w:rsidP="003325C2">
      <w:pPr>
        <w:spacing w:line="240" w:lineRule="auto"/>
        <w:rPr>
          <w:rFonts w:eastAsia="Times New Roman"/>
          <w:b/>
          <w:bCs/>
          <w:color w:val="000000"/>
          <w:lang w:val="en-US" w:eastAsia="en-US"/>
        </w:rPr>
      </w:pPr>
    </w:p>
    <w:p w14:paraId="467A6E18" w14:textId="480A57E5" w:rsidR="00A846E5" w:rsidRDefault="006F683C" w:rsidP="003325C2">
      <w:pPr>
        <w:spacing w:line="240" w:lineRule="auto"/>
        <w:rPr>
          <w:rFonts w:eastAsia="Times New Roman"/>
          <w:b/>
          <w:bCs/>
          <w:color w:val="000000"/>
          <w:lang w:val="en-US" w:eastAsia="en-US"/>
        </w:rPr>
      </w:pPr>
      <w:r>
        <w:rPr>
          <w:rFonts w:ascii="Calibri" w:hAnsi="Calibri" w:cs="Calibri"/>
          <w:b/>
          <w:bCs/>
          <w:noProof/>
          <w:sz w:val="24"/>
          <w:szCs w:val="24"/>
        </w:rPr>
        <mc:AlternateContent>
          <mc:Choice Requires="wps">
            <w:drawing>
              <wp:anchor distT="0" distB="0" distL="114300" distR="114300" simplePos="0" relativeHeight="251663360" behindDoc="1" locked="0" layoutInCell="1" allowOverlap="1" wp14:anchorId="4FDAB7CB" wp14:editId="14C9CB27">
                <wp:simplePos x="0" y="0"/>
                <wp:positionH relativeFrom="page">
                  <wp:posOffset>914400</wp:posOffset>
                </wp:positionH>
                <wp:positionV relativeFrom="paragraph">
                  <wp:posOffset>18415</wp:posOffset>
                </wp:positionV>
                <wp:extent cx="6286500" cy="323850"/>
                <wp:effectExtent l="57150" t="19050" r="76200" b="95250"/>
                <wp:wrapNone/>
                <wp:docPr id="1131598910" name="Rectangle 2"/>
                <wp:cNvGraphicFramePr/>
                <a:graphic xmlns:a="http://schemas.openxmlformats.org/drawingml/2006/main">
                  <a:graphicData uri="http://schemas.microsoft.com/office/word/2010/wordprocessingShape">
                    <wps:wsp>
                      <wps:cNvSpPr/>
                      <wps:spPr>
                        <a:xfrm>
                          <a:off x="0" y="0"/>
                          <a:ext cx="6286500" cy="32385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F9B168" w14:textId="78CA96AA" w:rsidR="006F683C" w:rsidRPr="000A1800" w:rsidRDefault="006F683C" w:rsidP="006F683C">
                            <w:pPr>
                              <w:rPr>
                                <w:rFonts w:ascii="Calibri" w:hAnsi="Calibri" w:cs="Calibri"/>
                                <w:sz w:val="24"/>
                                <w:szCs w:val="24"/>
                              </w:rPr>
                            </w:pPr>
                            <w:r w:rsidRPr="000A1800">
                              <w:rPr>
                                <w:rFonts w:ascii="Calibri" w:eastAsia="Calibri" w:hAnsi="Calibri" w:cs="Calibri"/>
                                <w:b/>
                                <w:bCs/>
                                <w:sz w:val="24"/>
                                <w:szCs w:val="24"/>
                              </w:rPr>
                              <w:t xml:space="preserve">Recommendation </w:t>
                            </w:r>
                            <w:r>
                              <w:rPr>
                                <w:rFonts w:ascii="Calibri" w:eastAsia="Calibri" w:hAnsi="Calibri" w:cs="Calibri"/>
                                <w:b/>
                                <w:bCs/>
                                <w:sz w:val="24"/>
                                <w:szCs w:val="24"/>
                              </w:rPr>
                              <w:t>2</w:t>
                            </w:r>
                            <w:r w:rsidRPr="000A1800">
                              <w:rPr>
                                <w:rFonts w:ascii="Calibri" w:eastAsia="Calibri" w:hAnsi="Calibri" w:cs="Calibri"/>
                                <w:b/>
                                <w:bCs/>
                                <w:sz w:val="24"/>
                                <w:szCs w:val="24"/>
                              </w:rPr>
                              <w:t xml:space="preserve">: </w:t>
                            </w:r>
                            <w:r w:rsidRPr="006F683C">
                              <w:rPr>
                                <w:rFonts w:ascii="Calibri" w:hAnsi="Calibri" w:cs="Calibri"/>
                                <w:b/>
                                <w:bCs/>
                                <w:sz w:val="24"/>
                                <w:szCs w:val="24"/>
                              </w:rPr>
                              <w:t>Improve national data and statistics system coordination</w:t>
                            </w:r>
                          </w:p>
                          <w:p w14:paraId="2617ACBD" w14:textId="77777777" w:rsidR="006F683C" w:rsidRDefault="006F683C" w:rsidP="006F683C">
                            <w:pPr>
                              <w:spacing w:line="240" w:lineRule="auto"/>
                              <w:rPr>
                                <w:rFonts w:ascii="Calibri" w:eastAsia="Calibri" w:hAnsi="Calibri" w:cs="Calibri"/>
                                <w:b/>
                                <w:bCs/>
                                <w:sz w:val="24"/>
                                <w:szCs w:val="24"/>
                              </w:rPr>
                            </w:pPr>
                          </w:p>
                          <w:p w14:paraId="754A8CD9" w14:textId="77777777" w:rsidR="006F683C" w:rsidRDefault="006F683C" w:rsidP="006F68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AB7CB" id="Rectangle 2" o:spid="_x0000_s1026" style="position:absolute;margin-left:1in;margin-top:1.45pt;width:495pt;height:2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" fillcolor="#3f80cd" strokecolor="#4a7ebb">
                <v:fill color2="#9bc1ff" rotate="t" angle="180" focus="100%" type="gradient">
                  <o:fill v:ext="view" type="gradientUnscaled"/>
                </v:fill>
                <v:shadow on="t" color="black" opacity="22937f" origin=",.5" offset="0,.63889mm"/>
                <v:textbox>
                  <w:txbxContent>
                    <w:p w14:paraId="20F9B168" w14:textId="78CA96AA" w:rsidR="006F683C" w:rsidRPr="000A1800" w:rsidRDefault="006F683C" w:rsidP="006F683C">
                      <w:pPr>
                        <w:rPr>
                          <w:rFonts w:ascii="Calibri" w:hAnsi="Calibri" w:cs="Calibri"/>
                          <w:sz w:val="24"/>
                          <w:szCs w:val="24"/>
                        </w:rPr>
                      </w:pPr>
                      <w:r w:rsidRPr="000A1800">
                        <w:rPr>
                          <w:rFonts w:ascii="Calibri" w:eastAsia="Calibri" w:hAnsi="Calibri" w:cs="Calibri"/>
                          <w:b/>
                          <w:bCs/>
                          <w:sz w:val="24"/>
                          <w:szCs w:val="24"/>
                        </w:rPr>
                        <w:t xml:space="preserve">Recommendation </w:t>
                      </w:r>
                      <w:r>
                        <w:rPr>
                          <w:rFonts w:ascii="Calibri" w:eastAsia="Calibri" w:hAnsi="Calibri" w:cs="Calibri"/>
                          <w:b/>
                          <w:bCs/>
                          <w:sz w:val="24"/>
                          <w:szCs w:val="24"/>
                        </w:rPr>
                        <w:t>2</w:t>
                      </w:r>
                      <w:r w:rsidRPr="000A1800">
                        <w:rPr>
                          <w:rFonts w:ascii="Calibri" w:eastAsia="Calibri" w:hAnsi="Calibri" w:cs="Calibri"/>
                          <w:b/>
                          <w:bCs/>
                          <w:sz w:val="24"/>
                          <w:szCs w:val="24"/>
                        </w:rPr>
                        <w:t xml:space="preserve">: </w:t>
                      </w:r>
                      <w:r w:rsidRPr="006F683C">
                        <w:rPr>
                          <w:rFonts w:ascii="Calibri" w:hAnsi="Calibri" w:cs="Calibri"/>
                          <w:b/>
                          <w:bCs/>
                          <w:sz w:val="24"/>
                          <w:szCs w:val="24"/>
                        </w:rPr>
                        <w:t>Improve national data and statistics system coordination</w:t>
                      </w:r>
                    </w:p>
                    <w:p w14:paraId="2617ACBD" w14:textId="77777777" w:rsidR="006F683C" w:rsidRDefault="006F683C" w:rsidP="006F683C">
                      <w:pPr>
                        <w:spacing w:line="240" w:lineRule="auto"/>
                        <w:rPr>
                          <w:rFonts w:ascii="Calibri" w:eastAsia="Calibri" w:hAnsi="Calibri" w:cs="Calibri"/>
                          <w:b/>
                          <w:bCs/>
                          <w:sz w:val="24"/>
                          <w:szCs w:val="24"/>
                        </w:rPr>
                      </w:pPr>
                    </w:p>
                    <w:p w14:paraId="754A8CD9" w14:textId="77777777" w:rsidR="006F683C" w:rsidRDefault="006F683C" w:rsidP="006F683C">
                      <w:pPr>
                        <w:jc w:val="center"/>
                      </w:pPr>
                    </w:p>
                  </w:txbxContent>
                </v:textbox>
                <w10:wrap anchorx="page"/>
              </v:rect>
            </w:pict>
          </mc:Fallback>
        </mc:AlternateContent>
      </w:r>
    </w:p>
    <w:p w14:paraId="114C4000" w14:textId="77777777" w:rsidR="006F683C" w:rsidRDefault="006F683C" w:rsidP="003325C2">
      <w:pPr>
        <w:spacing w:line="240" w:lineRule="auto"/>
        <w:rPr>
          <w:rFonts w:eastAsia="Times New Roman"/>
          <w:b/>
          <w:bCs/>
          <w:color w:val="000000"/>
          <w:lang w:val="en-US" w:eastAsia="en-US"/>
        </w:rPr>
      </w:pPr>
    </w:p>
    <w:p w14:paraId="2BC2381F" w14:textId="77777777" w:rsidR="006F683C" w:rsidRDefault="006F683C" w:rsidP="006F683C">
      <w:pPr>
        <w:spacing w:line="240" w:lineRule="auto"/>
        <w:rPr>
          <w:rFonts w:ascii="Times New Roman" w:eastAsia="Times New Roman" w:hAnsi="Times New Roman" w:cs="Times New Roman"/>
          <w:sz w:val="24"/>
          <w:szCs w:val="24"/>
          <w:lang w:val="en-US" w:eastAsia="en-US"/>
        </w:rPr>
      </w:pPr>
    </w:p>
    <w:p w14:paraId="4DB7190F" w14:textId="7AC32729" w:rsidR="006F683C" w:rsidRPr="006F683C" w:rsidRDefault="006F683C" w:rsidP="006F683C">
      <w:pPr>
        <w:spacing w:line="240" w:lineRule="auto"/>
        <w:rPr>
          <w:rFonts w:ascii="Times New Roman" w:eastAsia="Times New Roman" w:hAnsi="Times New Roman" w:cs="Times New Roman"/>
          <w:sz w:val="24"/>
          <w:szCs w:val="24"/>
          <w:lang w:val="en-US" w:eastAsia="en-US"/>
        </w:rPr>
      </w:pPr>
      <w:hyperlink r:id="rId15" w:history="1">
        <w:r w:rsidRPr="006F683C">
          <w:rPr>
            <w:rFonts w:eastAsia="Times New Roman"/>
            <w:b/>
            <w:bCs/>
            <w:color w:val="1155CC"/>
            <w:u w:val="single"/>
            <w:lang w:val="en-US" w:eastAsia="en-US"/>
          </w:rPr>
          <w:t>Data sharing helped inform policy reforms to reduce poverty in Zambia </w:t>
        </w:r>
      </w:hyperlink>
    </w:p>
    <w:p w14:paraId="044926F3" w14:textId="77777777" w:rsidR="006F683C" w:rsidRPr="006F683C" w:rsidRDefault="006F683C" w:rsidP="006F683C">
      <w:pPr>
        <w:spacing w:line="240" w:lineRule="auto"/>
        <w:rPr>
          <w:rFonts w:ascii="Times New Roman" w:eastAsia="Times New Roman" w:hAnsi="Times New Roman" w:cs="Times New Roman"/>
          <w:sz w:val="24"/>
          <w:szCs w:val="24"/>
          <w:lang w:val="en-US" w:eastAsia="en-US"/>
        </w:rPr>
      </w:pPr>
      <w:r w:rsidRPr="006F683C">
        <w:rPr>
          <w:rFonts w:eastAsia="Times New Roman"/>
          <w:color w:val="000000"/>
          <w:lang w:val="en-US" w:eastAsia="en-US"/>
        </w:rPr>
        <w:t>The Zambian government wants to reduce poverty by 20 % by 2030. To do so effectively, they understood that they needed to do a proper assessment of existing social protection programs. The Zambia Institute for Policy Analysis and Research (</w:t>
      </w:r>
      <w:hyperlink r:id="rId16" w:history="1">
        <w:r w:rsidRPr="006F683C">
          <w:rPr>
            <w:rFonts w:eastAsia="Times New Roman"/>
            <w:color w:val="1155CC"/>
            <w:u w:val="single"/>
            <w:lang w:val="en-US" w:eastAsia="en-US"/>
          </w:rPr>
          <w:t>ZIPAR</w:t>
        </w:r>
      </w:hyperlink>
      <w:r w:rsidRPr="006F683C">
        <w:rPr>
          <w:rFonts w:eastAsia="Times New Roman"/>
          <w:color w:val="000000"/>
          <w:lang w:val="en-US" w:eastAsia="en-US"/>
        </w:rPr>
        <w:t xml:space="preserve">) took a central role in developing a </w:t>
      </w:r>
      <w:hyperlink r:id="rId17" w:history="1">
        <w:r w:rsidRPr="006F683C">
          <w:rPr>
            <w:rFonts w:eastAsia="Times New Roman"/>
            <w:color w:val="1155CC"/>
            <w:u w:val="single"/>
            <w:lang w:val="en-US" w:eastAsia="en-US"/>
          </w:rPr>
          <w:t>tax-benefit microsimulation model</w:t>
        </w:r>
      </w:hyperlink>
      <w:r w:rsidRPr="006F683C">
        <w:rPr>
          <w:rFonts w:eastAsia="Times New Roman"/>
          <w:color w:val="000000"/>
          <w:lang w:val="en-US" w:eastAsia="en-US"/>
        </w:rPr>
        <w:t xml:space="preserve"> to compare the effects of different benefit policy scenarios on poverty, inequality, and government expenditure. To do so effectively, they needed to bring different data together to inform the model. They worked with the Zambian Statistics Agency to get access to the Living Conditions Measurement Survey microdata as the basis for modelling and poverty assessment. To ensure that the model reflected realities, they also needed macro level information on each benefit policy such as the number of beneficiaries and spending for each of the existing social protection programs. In the process, ZIPAR conducted several rounds of dialogues with different ministries and agencies to get access to the different administrative data on social protection programs. These dialogues took place over the course of a year and bridged the lack of understanding among some partners which data were needed and important for the question at hand. </w:t>
      </w:r>
      <w:r w:rsidRPr="006F683C">
        <w:rPr>
          <w:rFonts w:eastAsia="Times New Roman"/>
          <w:color w:val="000000"/>
          <w:lang w:val="en-US" w:eastAsia="en-US"/>
        </w:rPr>
        <w:lastRenderedPageBreak/>
        <w:t xml:space="preserve">The work paid off however, as based on the </w:t>
      </w:r>
      <w:hyperlink r:id="rId18" w:history="1">
        <w:r w:rsidRPr="006F683C">
          <w:rPr>
            <w:rFonts w:eastAsia="Times New Roman"/>
            <w:color w:val="1155CC"/>
            <w:u w:val="single"/>
            <w:lang w:val="en-US" w:eastAsia="en-US"/>
          </w:rPr>
          <w:t>recommendations put forth</w:t>
        </w:r>
      </w:hyperlink>
      <w:r w:rsidRPr="006F683C">
        <w:rPr>
          <w:rFonts w:eastAsia="Times New Roman"/>
          <w:color w:val="000000"/>
          <w:lang w:val="en-US" w:eastAsia="en-US"/>
        </w:rPr>
        <w:t xml:space="preserve">, the Zambian cabinet decided to implement a benefit </w:t>
      </w:r>
      <w:hyperlink r:id="rId19" w:history="1">
        <w:r w:rsidRPr="006F683C">
          <w:rPr>
            <w:rFonts w:eastAsia="Times New Roman"/>
            <w:color w:val="1155CC"/>
            <w:u w:val="single"/>
            <w:lang w:val="en-US" w:eastAsia="en-US"/>
          </w:rPr>
          <w:t>supporting girls’ tertiary education</w:t>
        </w:r>
      </w:hyperlink>
      <w:r w:rsidRPr="006F683C">
        <w:rPr>
          <w:rFonts w:eastAsia="Times New Roman"/>
          <w:color w:val="000000"/>
          <w:lang w:val="en-US" w:eastAsia="en-US"/>
        </w:rPr>
        <w:t xml:space="preserve"> and adjusted the social protection programs.</w:t>
      </w:r>
    </w:p>
    <w:p w14:paraId="2CFF0061" w14:textId="77777777" w:rsidR="00A846E5" w:rsidRDefault="00A846E5" w:rsidP="003325C2">
      <w:pPr>
        <w:spacing w:line="240" w:lineRule="auto"/>
        <w:rPr>
          <w:rFonts w:eastAsia="Times New Roman"/>
          <w:b/>
          <w:bCs/>
          <w:color w:val="000000"/>
          <w:lang w:val="en-US" w:eastAsia="en-US"/>
        </w:rPr>
      </w:pPr>
    </w:p>
    <w:p w14:paraId="5BDADFB8" w14:textId="77777777" w:rsidR="00641EB7" w:rsidRPr="00EF232A" w:rsidRDefault="00641EB7" w:rsidP="00641EB7">
      <w:pPr>
        <w:rPr>
          <w:rFonts w:ascii="Calibri" w:hAnsi="Calibri" w:cs="Calibri"/>
          <w:b/>
          <w:bCs/>
          <w:sz w:val="24"/>
          <w:szCs w:val="24"/>
        </w:rPr>
      </w:pPr>
      <w:r w:rsidRPr="00EF232A">
        <w:rPr>
          <w:rFonts w:ascii="Calibri" w:hAnsi="Calibri" w:cs="Calibri"/>
          <w:b/>
          <w:bCs/>
          <w:sz w:val="24"/>
          <w:szCs w:val="24"/>
        </w:rPr>
        <w:t>Sharing education data for budget negotiations in Timor-Leste</w:t>
      </w:r>
    </w:p>
    <w:p w14:paraId="76C57F0A" w14:textId="77777777" w:rsidR="00641EB7" w:rsidRPr="003325C2" w:rsidRDefault="00641EB7" w:rsidP="00641EB7">
      <w:pPr>
        <w:spacing w:line="240" w:lineRule="auto"/>
        <w:rPr>
          <w:rFonts w:ascii="Times New Roman" w:eastAsia="Times New Roman" w:hAnsi="Times New Roman" w:cs="Times New Roman"/>
          <w:sz w:val="24"/>
          <w:szCs w:val="24"/>
          <w:lang w:val="en-US" w:eastAsia="en-US"/>
        </w:rPr>
      </w:pPr>
      <w:r w:rsidRPr="003325C2">
        <w:rPr>
          <w:rFonts w:eastAsia="Times New Roman"/>
          <w:color w:val="000000"/>
          <w:lang w:val="en-US" w:eastAsia="en-US"/>
        </w:rPr>
        <w:t>Timor</w:t>
      </w:r>
      <w:r w:rsidRPr="003325C2">
        <w:rPr>
          <w:rFonts w:eastAsia="Times New Roman"/>
          <w:color w:val="000000"/>
          <w:lang w:val="en-US" w:eastAsia="en-US"/>
        </w:rPr>
        <w:noBreakHyphen/>
        <w:t>Leste illustrates how coordination across government data systems can directly influence financing outcomes. By bringing together previously fragmented data on enrolment, teachers, infrastructure, and outcomes, the Ministry of Education was able to present a coherent, evidence</w:t>
      </w:r>
      <w:r w:rsidRPr="003325C2">
        <w:rPr>
          <w:rFonts w:eastAsia="Times New Roman"/>
          <w:color w:val="000000"/>
          <w:lang w:val="en-US" w:eastAsia="en-US"/>
        </w:rPr>
        <w:noBreakHyphen/>
        <w:t>based case to the Ministry of Finance during budget negotiations. The result was a significant increase in education funding and stronger inter</w:t>
      </w:r>
      <w:r w:rsidRPr="003325C2">
        <w:rPr>
          <w:rFonts w:eastAsia="Times New Roman"/>
          <w:color w:val="000000"/>
          <w:lang w:val="en-US" w:eastAsia="en-US"/>
        </w:rPr>
        <w:noBreakHyphen/>
        <w:t>ministerial trust. The case shows that focusing data efforts on the information needs of finance officials—and coordinating across siloes—can turn existing data into a powerful tool for domestic resource allocation</w:t>
      </w:r>
    </w:p>
    <w:p w14:paraId="5D79517E" w14:textId="77777777" w:rsidR="00641EB7" w:rsidRDefault="00641EB7" w:rsidP="00100CFC">
      <w:pPr>
        <w:pStyle w:val="NormalWeb"/>
        <w:spacing w:before="0" w:beforeAutospacing="0" w:after="0" w:afterAutospacing="0"/>
        <w:rPr>
          <w:rFonts w:ascii="Arial" w:hAnsi="Arial" w:cs="Arial"/>
          <w:b/>
          <w:bCs/>
          <w:color w:val="000000"/>
          <w:sz w:val="22"/>
          <w:szCs w:val="22"/>
        </w:rPr>
      </w:pPr>
    </w:p>
    <w:p w14:paraId="05E6DD36" w14:textId="7CA4E886" w:rsidR="00100CFC" w:rsidRDefault="00100CFC" w:rsidP="00100CFC">
      <w:pPr>
        <w:pStyle w:val="NormalWeb"/>
        <w:spacing w:before="0" w:beforeAutospacing="0" w:after="0" w:afterAutospacing="0"/>
      </w:pPr>
      <w:r>
        <w:rPr>
          <w:rFonts w:ascii="Arial" w:hAnsi="Arial" w:cs="Arial"/>
          <w:b/>
          <w:bCs/>
          <w:color w:val="000000"/>
          <w:sz w:val="22"/>
          <w:szCs w:val="22"/>
        </w:rPr>
        <w:t>National conference to discuss data in Colombia</w:t>
      </w:r>
    </w:p>
    <w:p w14:paraId="04C104BD" w14:textId="77777777" w:rsidR="00100CFC" w:rsidRDefault="00100CFC" w:rsidP="00100CFC">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Colombia’s national data forum shows the value of structured coordination across the data ecosystem. By bringing together government, academia, civil society, and the private sector, the forum created a shared space to agree priorities, improve trust, and reduce duplication. This inclusive coordination strengthened the relevance and use of official data across sectors, demonstrating that effective data governance depends as much on dialogue and alignment as on technology.</w:t>
      </w:r>
    </w:p>
    <w:p w14:paraId="69562BF6" w14:textId="77777777" w:rsidR="006269A2" w:rsidRDefault="006269A2" w:rsidP="00100CFC">
      <w:pPr>
        <w:pStyle w:val="NormalWeb"/>
        <w:spacing w:before="0" w:beforeAutospacing="0" w:after="0" w:afterAutospacing="0"/>
        <w:rPr>
          <w:rFonts w:ascii="Arial" w:hAnsi="Arial" w:cs="Arial"/>
          <w:color w:val="000000"/>
          <w:sz w:val="22"/>
          <w:szCs w:val="22"/>
        </w:rPr>
      </w:pPr>
    </w:p>
    <w:p w14:paraId="0C71A0B5" w14:textId="2E334CBE" w:rsidR="006269A2" w:rsidRPr="006269A2" w:rsidRDefault="006269A2" w:rsidP="006269A2">
      <w:pPr>
        <w:rPr>
          <w:b/>
          <w:bCs/>
        </w:rPr>
      </w:pPr>
      <w:r>
        <w:rPr>
          <w:b/>
          <w:bCs/>
        </w:rPr>
        <w:t>Kenya</w:t>
      </w:r>
      <w:r w:rsidR="00172AEF">
        <w:rPr>
          <w:b/>
          <w:bCs/>
        </w:rPr>
        <w:t xml:space="preserve"> improved coordination to strengthen gender data and better inform policy making</w:t>
      </w:r>
    </w:p>
    <w:p w14:paraId="49B42760" w14:textId="1EE95F38" w:rsidR="006269A2" w:rsidRDefault="006269A2" w:rsidP="00165EED">
      <w:pPr>
        <w:spacing w:line="240" w:lineRule="auto"/>
      </w:pPr>
      <w:r>
        <w:t>Kenya’s experience shows why investing not only in data production, but also in the coordination and publication of priority data, matters for financing and policy. The restructuring of the national Gender Committee into the Inter-Agency Gender Statistics Technical Committee (IAGSTC), chaired by the Kenya National Bureau of Statistics, created a stronger platform to align government, civil society, academia, the private sector, and development partners around usable gender data. This helped reduce duplication, improve the publication and uptake of key gender statistics, and strengthen their relevance for planning, SDG reporting, and decision-making across sectors. Published outputs such as county gender data sheets, alongside improved reporting and policy use, have supported reforms including agricultural finance measures and gender-responsive legislation at county level.</w:t>
      </w:r>
    </w:p>
    <w:p w14:paraId="649B4D83" w14:textId="77777777" w:rsidR="00C8473E" w:rsidRDefault="00C8473E" w:rsidP="00165EED">
      <w:pPr>
        <w:spacing w:line="240" w:lineRule="auto"/>
      </w:pPr>
    </w:p>
    <w:p w14:paraId="637E1467" w14:textId="111F37AD" w:rsidR="00C8473E" w:rsidRPr="0050118A" w:rsidRDefault="00C8473E" w:rsidP="00165EED">
      <w:pPr>
        <w:spacing w:line="240" w:lineRule="auto"/>
        <w:rPr>
          <w:b/>
          <w:bCs/>
        </w:rPr>
      </w:pPr>
      <w:r w:rsidRPr="0050118A">
        <w:rPr>
          <w:b/>
          <w:bCs/>
        </w:rPr>
        <w:t>Civil society exposed major gaps in climate accountability</w:t>
      </w:r>
    </w:p>
    <w:p w14:paraId="297862B7" w14:textId="3B4873DA" w:rsidR="00E54976" w:rsidRPr="00165EED" w:rsidRDefault="006817E9" w:rsidP="006817E9">
      <w:pPr>
        <w:spacing w:line="240" w:lineRule="auto"/>
      </w:pPr>
      <w:r>
        <w:t>In 2021, ahead of hosting COP26 in Glasgow, the UK government made an ambitious commitment: £3 billion to protect and restore nature between 2021 and 2026, with £1.5 billion specifically for forests. This represented a step-change in the UK's climate finance ambitions.</w:t>
      </w:r>
      <w:r w:rsidR="00470B78">
        <w:t xml:space="preserve"> </w:t>
      </w:r>
      <w:r w:rsidR="004B7DAB">
        <w:t xml:space="preserve">The challenge was that </w:t>
      </w:r>
      <w:r w:rsidR="00FA10FE">
        <w:t xml:space="preserve">information on spending was not published. Civil society </w:t>
      </w:r>
      <w:r w:rsidR="00470B78">
        <w:t>filled the gap by using</w:t>
      </w:r>
      <w:r w:rsidR="00DA015B" w:rsidRPr="00DA015B">
        <w:t xml:space="preserve"> data obtained through Freedom of Information requests covering 2021-2025</w:t>
      </w:r>
      <w:r w:rsidR="00470B78">
        <w:t xml:space="preserve"> and started providing a</w:t>
      </w:r>
      <w:r w:rsidR="00DA015B" w:rsidRPr="00DA015B">
        <w:t xml:space="preserve"> public analysis of UK nature finance spending since the commitment began.</w:t>
      </w:r>
      <w:r w:rsidR="00470B78">
        <w:t xml:space="preserve"> T</w:t>
      </w:r>
      <w:r w:rsidR="004B7DAB">
        <w:t xml:space="preserve">his helped inform the public </w:t>
      </w:r>
      <w:r w:rsidR="00901CC9">
        <w:t>on how the commitments were implemented.</w:t>
      </w:r>
    </w:p>
    <w:p w14:paraId="1D60B5D5" w14:textId="77777777" w:rsidR="00A846E5" w:rsidRDefault="00A846E5" w:rsidP="003325C2">
      <w:pPr>
        <w:spacing w:line="240" w:lineRule="auto"/>
        <w:rPr>
          <w:rFonts w:eastAsia="Times New Roman"/>
          <w:b/>
          <w:bCs/>
          <w:color w:val="000000"/>
          <w:lang w:val="en-US" w:eastAsia="en-US"/>
        </w:rPr>
      </w:pPr>
    </w:p>
    <w:p w14:paraId="1E460520" w14:textId="77777777" w:rsidR="00A846E5" w:rsidRDefault="00A846E5" w:rsidP="003325C2">
      <w:pPr>
        <w:spacing w:line="240" w:lineRule="auto"/>
        <w:rPr>
          <w:rFonts w:eastAsia="Times New Roman"/>
          <w:b/>
          <w:bCs/>
          <w:color w:val="000000"/>
          <w:lang w:val="en-US" w:eastAsia="en-US"/>
        </w:rPr>
      </w:pPr>
    </w:p>
    <w:p w14:paraId="3DBF66C9" w14:textId="6183F4F2" w:rsidR="00A846E5" w:rsidRDefault="00A846E5" w:rsidP="003325C2">
      <w:pPr>
        <w:spacing w:line="240" w:lineRule="auto"/>
        <w:rPr>
          <w:rFonts w:eastAsia="Times New Roman"/>
          <w:b/>
          <w:bCs/>
          <w:color w:val="000000"/>
          <w:lang w:val="en-US" w:eastAsia="en-US"/>
        </w:rPr>
      </w:pPr>
      <w:r>
        <w:rPr>
          <w:rFonts w:ascii="Calibri" w:hAnsi="Calibri" w:cs="Calibri"/>
          <w:b/>
          <w:bCs/>
          <w:noProof/>
          <w:sz w:val="24"/>
          <w:szCs w:val="24"/>
        </w:rPr>
        <mc:AlternateContent>
          <mc:Choice Requires="wps">
            <w:drawing>
              <wp:anchor distT="0" distB="0" distL="114300" distR="114300" simplePos="0" relativeHeight="251661312" behindDoc="1" locked="0" layoutInCell="1" allowOverlap="1" wp14:anchorId="2375E0FB" wp14:editId="64D51892">
                <wp:simplePos x="0" y="0"/>
                <wp:positionH relativeFrom="page">
                  <wp:posOffset>923925</wp:posOffset>
                </wp:positionH>
                <wp:positionV relativeFrom="paragraph">
                  <wp:posOffset>37465</wp:posOffset>
                </wp:positionV>
                <wp:extent cx="6286500" cy="323850"/>
                <wp:effectExtent l="57150" t="19050" r="76200" b="95250"/>
                <wp:wrapNone/>
                <wp:docPr id="396176427" name="Rectangle 2"/>
                <wp:cNvGraphicFramePr/>
                <a:graphic xmlns:a="http://schemas.openxmlformats.org/drawingml/2006/main">
                  <a:graphicData uri="http://schemas.microsoft.com/office/word/2010/wordprocessingShape">
                    <wps:wsp>
                      <wps:cNvSpPr/>
                      <wps:spPr>
                        <a:xfrm>
                          <a:off x="0" y="0"/>
                          <a:ext cx="6286500" cy="32385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770BC904" w14:textId="77777777" w:rsidR="000A1800" w:rsidRPr="000A1800" w:rsidRDefault="000A1800" w:rsidP="000A1800">
                            <w:pPr>
                              <w:rPr>
                                <w:rFonts w:ascii="Calibri" w:hAnsi="Calibri" w:cs="Calibri"/>
                                <w:sz w:val="24"/>
                                <w:szCs w:val="24"/>
                              </w:rPr>
                            </w:pPr>
                            <w:r w:rsidRPr="000A1800">
                              <w:rPr>
                                <w:rFonts w:ascii="Calibri" w:eastAsia="Calibri" w:hAnsi="Calibri" w:cs="Calibri"/>
                                <w:b/>
                                <w:bCs/>
                                <w:sz w:val="24"/>
                                <w:szCs w:val="24"/>
                              </w:rPr>
                              <w:t xml:space="preserve">Recommendation 3: </w:t>
                            </w:r>
                            <w:r w:rsidRPr="000A1800">
                              <w:rPr>
                                <w:rFonts w:ascii="Calibri" w:hAnsi="Calibri" w:cs="Calibri"/>
                                <w:b/>
                                <w:bCs/>
                                <w:sz w:val="24"/>
                                <w:szCs w:val="24"/>
                              </w:rPr>
                              <w:t>Strengthen data governance and innovation</w:t>
                            </w:r>
                          </w:p>
                          <w:p w14:paraId="7EEC5D75" w14:textId="1A2B9E5C" w:rsidR="000A1800" w:rsidRDefault="000A1800" w:rsidP="000A1800">
                            <w:pPr>
                              <w:spacing w:line="240" w:lineRule="auto"/>
                              <w:rPr>
                                <w:rFonts w:ascii="Calibri" w:eastAsia="Calibri" w:hAnsi="Calibri" w:cs="Calibri"/>
                                <w:b/>
                                <w:bCs/>
                                <w:sz w:val="24"/>
                                <w:szCs w:val="24"/>
                              </w:rPr>
                            </w:pPr>
                          </w:p>
                          <w:p w14:paraId="41AB9C43" w14:textId="77777777" w:rsidR="000A1800" w:rsidRDefault="000A1800" w:rsidP="000A180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5E0FB" id="_x0000_s1027" style="position:absolute;margin-left:72.75pt;margin-top:2.95pt;width:495pt;height:2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" fillcolor="#3f80cd" strokecolor="#4a7ebb">
                <v:fill color2="#9bc1ff" rotate="t" angle="180" focus="100%" type="gradient">
                  <o:fill v:ext="view" type="gradientUnscaled"/>
                </v:fill>
                <v:shadow on="t" color="black" opacity="22937f" origin=",.5" offset="0,.63889mm"/>
                <v:textbox>
                  <w:txbxContent>
                    <w:p w14:paraId="770BC904" w14:textId="77777777" w:rsidR="000A1800" w:rsidRPr="000A1800" w:rsidRDefault="000A1800" w:rsidP="000A1800">
                      <w:pPr>
                        <w:rPr>
                          <w:rFonts w:ascii="Calibri" w:hAnsi="Calibri" w:cs="Calibri"/>
                          <w:sz w:val="24"/>
                          <w:szCs w:val="24"/>
                        </w:rPr>
                      </w:pPr>
                      <w:r w:rsidRPr="000A1800">
                        <w:rPr>
                          <w:rFonts w:ascii="Calibri" w:eastAsia="Calibri" w:hAnsi="Calibri" w:cs="Calibri"/>
                          <w:b/>
                          <w:bCs/>
                          <w:sz w:val="24"/>
                          <w:szCs w:val="24"/>
                        </w:rPr>
                        <w:t xml:space="preserve">Recommendation </w:t>
                      </w:r>
                      <w:r w:rsidRPr="000A1800">
                        <w:rPr>
                          <w:rFonts w:ascii="Calibri" w:eastAsia="Calibri" w:hAnsi="Calibri" w:cs="Calibri"/>
                          <w:b/>
                          <w:bCs/>
                          <w:sz w:val="24"/>
                          <w:szCs w:val="24"/>
                        </w:rPr>
                        <w:t>3</w:t>
                      </w:r>
                      <w:r w:rsidRPr="000A1800">
                        <w:rPr>
                          <w:rFonts w:ascii="Calibri" w:eastAsia="Calibri" w:hAnsi="Calibri" w:cs="Calibri"/>
                          <w:b/>
                          <w:bCs/>
                          <w:sz w:val="24"/>
                          <w:szCs w:val="24"/>
                        </w:rPr>
                        <w:t xml:space="preserve">: </w:t>
                      </w:r>
                      <w:r w:rsidRPr="000A1800">
                        <w:rPr>
                          <w:rFonts w:ascii="Calibri" w:hAnsi="Calibri" w:cs="Calibri"/>
                          <w:b/>
                          <w:bCs/>
                          <w:sz w:val="24"/>
                          <w:szCs w:val="24"/>
                        </w:rPr>
                        <w:t>Strengthen data governance and innovation</w:t>
                      </w:r>
                    </w:p>
                    <w:p w14:paraId="7EEC5D75" w14:textId="1A2B9E5C" w:rsidR="000A1800" w:rsidRDefault="000A1800" w:rsidP="000A1800">
                      <w:pPr>
                        <w:spacing w:line="240" w:lineRule="auto"/>
                        <w:rPr>
                          <w:rFonts w:ascii="Calibri" w:eastAsia="Calibri" w:hAnsi="Calibri" w:cs="Calibri"/>
                          <w:b/>
                          <w:bCs/>
                          <w:sz w:val="24"/>
                          <w:szCs w:val="24"/>
                        </w:rPr>
                      </w:pPr>
                    </w:p>
                    <w:p w14:paraId="41AB9C43" w14:textId="77777777" w:rsidR="000A1800" w:rsidRDefault="000A1800" w:rsidP="000A1800">
                      <w:pPr>
                        <w:jc w:val="center"/>
                      </w:pPr>
                    </w:p>
                  </w:txbxContent>
                </v:textbox>
                <w10:wrap anchorx="page"/>
              </v:rect>
            </w:pict>
          </mc:Fallback>
        </mc:AlternateContent>
      </w:r>
    </w:p>
    <w:p w14:paraId="3EF26ECD" w14:textId="77777777" w:rsidR="00A846E5" w:rsidRDefault="00A846E5" w:rsidP="003325C2">
      <w:pPr>
        <w:spacing w:line="240" w:lineRule="auto"/>
        <w:rPr>
          <w:rFonts w:eastAsia="Times New Roman"/>
          <w:b/>
          <w:bCs/>
          <w:color w:val="000000"/>
          <w:lang w:val="en-US" w:eastAsia="en-US"/>
        </w:rPr>
      </w:pPr>
    </w:p>
    <w:p w14:paraId="52D2D8E3" w14:textId="77777777" w:rsidR="00A846E5" w:rsidRDefault="00A846E5" w:rsidP="003325C2">
      <w:pPr>
        <w:spacing w:line="240" w:lineRule="auto"/>
        <w:rPr>
          <w:rFonts w:eastAsia="Times New Roman"/>
          <w:b/>
          <w:bCs/>
          <w:color w:val="000000"/>
          <w:lang w:val="en-US" w:eastAsia="en-US"/>
        </w:rPr>
      </w:pPr>
    </w:p>
    <w:p w14:paraId="030FEB25" w14:textId="5115F7DE" w:rsidR="003325C2" w:rsidRPr="003325C2" w:rsidRDefault="003325C2" w:rsidP="003325C2">
      <w:pPr>
        <w:spacing w:line="240" w:lineRule="auto"/>
        <w:rPr>
          <w:rFonts w:ascii="Times New Roman" w:eastAsia="Times New Roman" w:hAnsi="Times New Roman" w:cs="Times New Roman"/>
          <w:sz w:val="24"/>
          <w:szCs w:val="24"/>
          <w:lang w:val="en-US" w:eastAsia="en-US"/>
        </w:rPr>
      </w:pPr>
      <w:r w:rsidRPr="003325C2">
        <w:rPr>
          <w:rFonts w:eastAsia="Times New Roman"/>
          <w:b/>
          <w:bCs/>
          <w:color w:val="000000"/>
          <w:lang w:val="en-US" w:eastAsia="en-US"/>
        </w:rPr>
        <w:t>Making use of revenue and audit data to improve tax compliance </w:t>
      </w:r>
    </w:p>
    <w:p w14:paraId="14BCA33D" w14:textId="5E82B50E" w:rsidR="003325C2" w:rsidRPr="003325C2" w:rsidRDefault="003325C2" w:rsidP="003325C2">
      <w:pPr>
        <w:spacing w:line="240" w:lineRule="auto"/>
        <w:rPr>
          <w:rFonts w:ascii="Times New Roman" w:eastAsia="Times New Roman" w:hAnsi="Times New Roman" w:cs="Times New Roman"/>
          <w:sz w:val="24"/>
          <w:szCs w:val="24"/>
          <w:lang w:val="en-US" w:eastAsia="en-US"/>
        </w:rPr>
      </w:pPr>
      <w:r w:rsidRPr="003325C2">
        <w:rPr>
          <w:rFonts w:eastAsia="Times New Roman"/>
          <w:color w:val="000000"/>
          <w:lang w:val="en-US" w:eastAsia="en-US"/>
        </w:rPr>
        <w:t xml:space="preserve">Revenue authorities in several African </w:t>
      </w:r>
      <w:r w:rsidR="002E6D0C">
        <w:rPr>
          <w:rFonts w:eastAsia="Times New Roman"/>
          <w:color w:val="000000"/>
          <w:lang w:val="en-US" w:eastAsia="en-US"/>
        </w:rPr>
        <w:t xml:space="preserve">and Latin American </w:t>
      </w:r>
      <w:r w:rsidRPr="003325C2">
        <w:rPr>
          <w:rFonts w:eastAsia="Times New Roman"/>
          <w:color w:val="000000"/>
          <w:lang w:val="en-US" w:eastAsia="en-US"/>
        </w:rPr>
        <w:t xml:space="preserve">countries have in the last years made better use of their own data. A combination of skill development and access to machine learning tools has allowed the agencies to better understand tax compliance challenges. In Malawi, the revenue authority cleaned and adjusted different internal databases, making it possible to link them together to get a better picture of the situation allowing for better comparisons and understanding of how tax </w:t>
      </w:r>
      <w:r w:rsidRPr="003325C2">
        <w:rPr>
          <w:rFonts w:eastAsia="Times New Roman"/>
          <w:color w:val="000000"/>
          <w:lang w:val="en-US" w:eastAsia="en-US"/>
        </w:rPr>
        <w:lastRenderedPageBreak/>
        <w:t>payers contributed.</w:t>
      </w:r>
      <w:r w:rsidR="002E6D0C">
        <w:rPr>
          <w:rFonts w:eastAsia="Times New Roman"/>
          <w:color w:val="000000"/>
          <w:lang w:val="en-US" w:eastAsia="en-US"/>
        </w:rPr>
        <w:t xml:space="preserve"> </w:t>
      </w:r>
      <w:r w:rsidRPr="003325C2">
        <w:rPr>
          <w:rFonts w:eastAsia="Times New Roman"/>
          <w:color w:val="000000"/>
          <w:lang w:val="en-US" w:eastAsia="en-US"/>
        </w:rPr>
        <w:t xml:space="preserve">The revenue authorities of Uganda and Zambia worked on their tax audit and tax return data, cleaning and documenting these data, which then allowed them to use machine learning techniques to identify gaps in tax compliance. This exercise enables revenue authorities to improve their compliance activities, and in Zambia, </w:t>
      </w:r>
      <w:hyperlink r:id="rId20" w:history="1">
        <w:r w:rsidRPr="003325C2">
          <w:rPr>
            <w:rFonts w:eastAsia="Times New Roman"/>
            <w:color w:val="1155CC"/>
            <w:u w:val="single"/>
            <w:lang w:val="en-US" w:eastAsia="en-US"/>
          </w:rPr>
          <w:t>tax gap evidence has fed into the 2026 budget formulation</w:t>
        </w:r>
      </w:hyperlink>
      <w:r w:rsidRPr="003325C2">
        <w:rPr>
          <w:rFonts w:eastAsia="Times New Roman"/>
          <w:color w:val="000000"/>
          <w:lang w:val="en-US" w:eastAsia="en-US"/>
        </w:rPr>
        <w:t>.</w:t>
      </w:r>
      <w:r w:rsidR="00730699">
        <w:rPr>
          <w:rFonts w:eastAsia="Times New Roman"/>
          <w:color w:val="000000"/>
          <w:lang w:val="en-US" w:eastAsia="en-US"/>
        </w:rPr>
        <w:t xml:space="preserve"> Latin America</w:t>
      </w:r>
      <w:r w:rsidR="00754031">
        <w:rPr>
          <w:rFonts w:eastAsia="Times New Roman"/>
          <w:color w:val="000000"/>
          <w:lang w:val="en-US" w:eastAsia="en-US"/>
        </w:rPr>
        <w:t xml:space="preserve"> has similar experiences with</w:t>
      </w:r>
      <w:r w:rsidR="00730699">
        <w:rPr>
          <w:rFonts w:eastAsia="Times New Roman"/>
          <w:color w:val="000000"/>
          <w:lang w:val="en-US" w:eastAsia="en-US"/>
        </w:rPr>
        <w:t xml:space="preserve"> the Inter-American Center of Tax Administration (CIAT) </w:t>
      </w:r>
      <w:r w:rsidR="00E10303">
        <w:rPr>
          <w:rFonts w:eastAsia="Times New Roman"/>
          <w:color w:val="000000"/>
          <w:lang w:val="en-US" w:eastAsia="en-US"/>
        </w:rPr>
        <w:t>develop</w:t>
      </w:r>
      <w:r w:rsidR="00754031">
        <w:rPr>
          <w:rFonts w:eastAsia="Times New Roman"/>
          <w:color w:val="000000"/>
          <w:lang w:val="en-US" w:eastAsia="en-US"/>
        </w:rPr>
        <w:t>ing</w:t>
      </w:r>
      <w:r w:rsidR="00E10303">
        <w:rPr>
          <w:rFonts w:eastAsia="Times New Roman"/>
          <w:color w:val="000000"/>
          <w:lang w:val="en-US" w:eastAsia="en-US"/>
        </w:rPr>
        <w:t xml:space="preserve"> an </w:t>
      </w:r>
      <w:hyperlink r:id="rId21" w:history="1">
        <w:r w:rsidR="00E10303" w:rsidRPr="0018062B">
          <w:rPr>
            <w:rStyle w:val="Hyperlink"/>
            <w:rFonts w:eastAsia="Times New Roman"/>
            <w:lang w:val="en-US" w:eastAsia="en-US"/>
          </w:rPr>
          <w:t>unsupervised machine learning model</w:t>
        </w:r>
      </w:hyperlink>
      <w:r w:rsidR="00E10303">
        <w:rPr>
          <w:rFonts w:eastAsia="Times New Roman"/>
          <w:color w:val="000000"/>
          <w:lang w:val="en-US" w:eastAsia="en-US"/>
        </w:rPr>
        <w:t xml:space="preserve"> </w:t>
      </w:r>
      <w:r w:rsidR="00E10303" w:rsidRPr="00E10303">
        <w:rPr>
          <w:rFonts w:eastAsia="Times New Roman"/>
          <w:color w:val="000000"/>
          <w:lang w:val="en-US" w:eastAsia="en-US"/>
        </w:rPr>
        <w:t>to detect anomalies using electronic invoices, tax returns, and taxpayer registry data</w:t>
      </w:r>
      <w:r w:rsidR="00E10303">
        <w:rPr>
          <w:rFonts w:eastAsia="Times New Roman"/>
          <w:color w:val="000000"/>
          <w:lang w:val="en-US" w:eastAsia="en-US"/>
        </w:rPr>
        <w:t xml:space="preserve"> w</w:t>
      </w:r>
      <w:r w:rsidR="00534AE0">
        <w:rPr>
          <w:rFonts w:eastAsia="Times New Roman"/>
          <w:color w:val="000000"/>
          <w:lang w:val="en-US" w:eastAsia="en-US"/>
        </w:rPr>
        <w:t xml:space="preserve">hich </w:t>
      </w:r>
      <w:r w:rsidR="0018062B">
        <w:rPr>
          <w:rFonts w:eastAsia="Times New Roman"/>
          <w:color w:val="000000"/>
          <w:lang w:val="en-US" w:eastAsia="en-US"/>
        </w:rPr>
        <w:t>i</w:t>
      </w:r>
      <w:r w:rsidR="00534AE0">
        <w:rPr>
          <w:rFonts w:eastAsia="Times New Roman"/>
          <w:color w:val="000000"/>
          <w:lang w:val="en-US" w:eastAsia="en-US"/>
        </w:rPr>
        <w:t>mprove</w:t>
      </w:r>
      <w:r w:rsidR="0018062B">
        <w:rPr>
          <w:rFonts w:eastAsia="Times New Roman"/>
          <w:color w:val="000000"/>
          <w:lang w:val="en-US" w:eastAsia="en-US"/>
        </w:rPr>
        <w:t>s</w:t>
      </w:r>
      <w:r w:rsidR="00534AE0">
        <w:rPr>
          <w:rFonts w:eastAsia="Times New Roman"/>
          <w:color w:val="000000"/>
          <w:lang w:val="en-US" w:eastAsia="en-US"/>
        </w:rPr>
        <w:t xml:space="preserve"> detection </w:t>
      </w:r>
      <w:r w:rsidR="00754031">
        <w:rPr>
          <w:rFonts w:eastAsia="Times New Roman"/>
          <w:color w:val="000000"/>
          <w:lang w:val="en-US" w:eastAsia="en-US"/>
        </w:rPr>
        <w:t>and action.</w:t>
      </w:r>
    </w:p>
    <w:p w14:paraId="4885C003" w14:textId="30D8819C" w:rsidR="00DF7CC8" w:rsidRDefault="00DF7CC8">
      <w:pPr>
        <w:rPr>
          <w:rFonts w:ascii="Calibri" w:hAnsi="Calibri" w:cs="Calibri"/>
          <w:sz w:val="24"/>
          <w:szCs w:val="24"/>
          <w:lang w:val="en-US"/>
        </w:rPr>
      </w:pPr>
    </w:p>
    <w:p w14:paraId="3531A355" w14:textId="77777777" w:rsidR="006F683C" w:rsidRDefault="006F683C" w:rsidP="006F683C">
      <w:pPr>
        <w:pStyle w:val="NormalWeb"/>
        <w:spacing w:before="0" w:beforeAutospacing="0" w:after="0" w:afterAutospacing="0"/>
      </w:pPr>
      <w:r>
        <w:rPr>
          <w:rFonts w:ascii="Arial" w:hAnsi="Arial" w:cs="Arial"/>
          <w:b/>
          <w:bCs/>
          <w:color w:val="000000"/>
          <w:sz w:val="22"/>
          <w:szCs w:val="22"/>
        </w:rPr>
        <w:t>Trade data processing automation in Palestine </w:t>
      </w:r>
    </w:p>
    <w:p w14:paraId="4C53C2DA" w14:textId="77777777" w:rsidR="006F683C" w:rsidRDefault="006F683C" w:rsidP="006F683C">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Palestine’s automation of trade statistics shows how investing in internal data science capacity strengthens resilience under severe constraints. By replacing manual processes with automated workflows using open source tools, the statistical office reduced production times from months to days while improving consistency and quality. Embedding these capabilities internally ensured sustainability and reinforced national ownership of critical economic data.</w:t>
      </w:r>
    </w:p>
    <w:p w14:paraId="60A09F9E" w14:textId="77777777" w:rsidR="000C44DC" w:rsidRDefault="000C44DC" w:rsidP="006F683C">
      <w:pPr>
        <w:pStyle w:val="NormalWeb"/>
        <w:spacing w:before="0" w:beforeAutospacing="0" w:after="0" w:afterAutospacing="0"/>
        <w:rPr>
          <w:rFonts w:ascii="Arial" w:hAnsi="Arial" w:cs="Arial"/>
          <w:color w:val="000000"/>
          <w:sz w:val="22"/>
          <w:szCs w:val="22"/>
        </w:rPr>
      </w:pPr>
    </w:p>
    <w:p w14:paraId="41969455" w14:textId="77777777" w:rsidR="000C44DC" w:rsidRPr="000C44DC" w:rsidRDefault="000C44DC" w:rsidP="000C44DC">
      <w:pPr>
        <w:spacing w:line="240" w:lineRule="auto"/>
        <w:rPr>
          <w:rFonts w:ascii="Times New Roman" w:eastAsia="Times New Roman" w:hAnsi="Times New Roman" w:cs="Times New Roman"/>
          <w:sz w:val="24"/>
          <w:szCs w:val="24"/>
          <w:lang w:val="en-US" w:eastAsia="en-US"/>
        </w:rPr>
      </w:pPr>
      <w:r w:rsidRPr="000C44DC">
        <w:rPr>
          <w:rFonts w:eastAsia="Times New Roman"/>
          <w:b/>
          <w:bCs/>
          <w:color w:val="000000"/>
          <w:lang w:val="en-US" w:eastAsia="en-US"/>
        </w:rPr>
        <w:t>Data analytics help governments analyze illicit flows</w:t>
      </w:r>
    </w:p>
    <w:p w14:paraId="48C56150" w14:textId="77777777" w:rsidR="000C44DC" w:rsidRPr="000C44DC" w:rsidRDefault="000C44DC" w:rsidP="000C44DC">
      <w:pPr>
        <w:spacing w:line="240" w:lineRule="auto"/>
        <w:rPr>
          <w:rFonts w:ascii="Times New Roman" w:eastAsia="Times New Roman" w:hAnsi="Times New Roman" w:cs="Times New Roman"/>
          <w:sz w:val="24"/>
          <w:szCs w:val="24"/>
          <w:lang w:val="en-US" w:eastAsia="en-US"/>
        </w:rPr>
      </w:pPr>
      <w:r w:rsidRPr="000C44DC">
        <w:rPr>
          <w:rFonts w:eastAsia="Times New Roman"/>
          <w:color w:val="000000"/>
          <w:lang w:val="en-US" w:eastAsia="en-US"/>
        </w:rPr>
        <w:t xml:space="preserve">Illicit financial flows (IFFs) are hard to measure because they are largely hidden and rarely visible in official statistics. UNCTAD and UNODC worked with global experts to provide a comprehensive and globally agreed </w:t>
      </w:r>
      <w:hyperlink r:id="rId22" w:history="1">
        <w:r w:rsidRPr="000C44DC">
          <w:rPr>
            <w:rFonts w:eastAsia="Times New Roman"/>
            <w:color w:val="1155CC"/>
            <w:u w:val="single"/>
            <w:lang w:val="en-US" w:eastAsia="en-US"/>
          </w:rPr>
          <w:t>conceptual framework</w:t>
        </w:r>
      </w:hyperlink>
      <w:r w:rsidRPr="000C44DC">
        <w:rPr>
          <w:rFonts w:eastAsia="Times New Roman"/>
          <w:color w:val="000000"/>
          <w:lang w:val="en-US" w:eastAsia="en-US"/>
        </w:rPr>
        <w:t xml:space="preserve"> and </w:t>
      </w:r>
      <w:hyperlink r:id="rId23" w:history="1">
        <w:r w:rsidRPr="000C44DC">
          <w:rPr>
            <w:rFonts w:eastAsia="Times New Roman"/>
            <w:color w:val="1155CC"/>
            <w:u w:val="single"/>
            <w:lang w:val="en-US" w:eastAsia="en-US"/>
          </w:rPr>
          <w:t>detailed guidelines</w:t>
        </w:r>
      </w:hyperlink>
      <w:r w:rsidRPr="000C44DC">
        <w:rPr>
          <w:rFonts w:eastAsia="Times New Roman"/>
          <w:color w:val="000000"/>
          <w:lang w:val="en-US" w:eastAsia="en-US"/>
        </w:rPr>
        <w:t xml:space="preserve"> for the statistical measurement of various IFFs types. Pilot exercises in 23 countries across Africa, Latin America and Asia demonstrated that IFF measurement is possible when there is political will. Benefits of measurement go beyond statistical reporting, unlocking strong information for evidence-based policymaking. First estimates suggest that trade </w:t>
      </w:r>
      <w:proofErr w:type="spellStart"/>
      <w:r w:rsidRPr="000C44DC">
        <w:rPr>
          <w:rFonts w:eastAsia="Times New Roman"/>
          <w:color w:val="000000"/>
          <w:lang w:val="en-US" w:eastAsia="en-US"/>
        </w:rPr>
        <w:t>misinvoicing</w:t>
      </w:r>
      <w:proofErr w:type="spellEnd"/>
      <w:r w:rsidRPr="000C44DC">
        <w:rPr>
          <w:rFonts w:eastAsia="Times New Roman"/>
          <w:color w:val="000000"/>
          <w:lang w:val="en-US" w:eastAsia="en-US"/>
        </w:rPr>
        <w:t xml:space="preserve"> accounts for 5 to 30 percent of total trade in selected African countries, and drug trafficking flows are worth billions in major drug producing or transit countries. This is supported by the SPA “Community of Practice to Track the Hidden: Leveraging data and technology to combat illicit financial flows”.</w:t>
      </w:r>
    </w:p>
    <w:p w14:paraId="7926C958" w14:textId="77777777" w:rsidR="000C44DC" w:rsidRDefault="000C44DC" w:rsidP="006F683C">
      <w:pPr>
        <w:pStyle w:val="NormalWeb"/>
        <w:spacing w:before="0" w:beforeAutospacing="0" w:after="0" w:afterAutospacing="0"/>
      </w:pPr>
    </w:p>
    <w:p w14:paraId="5F40180E" w14:textId="2089C3CB" w:rsidR="00F855CD" w:rsidRPr="00F855CD" w:rsidRDefault="00F855CD" w:rsidP="00F855CD">
      <w:pPr>
        <w:rPr>
          <w:b/>
          <w:bCs/>
        </w:rPr>
      </w:pPr>
      <w:r w:rsidRPr="00F855CD">
        <w:rPr>
          <w:b/>
          <w:bCs/>
        </w:rPr>
        <w:t>Unlocking public value from mobile data for smarter and more efficient governance</w:t>
      </w:r>
    </w:p>
    <w:p w14:paraId="5E95C85D" w14:textId="38E7C91F" w:rsidR="00F855CD" w:rsidRPr="00F855CD" w:rsidRDefault="00F855CD" w:rsidP="00F855CD">
      <w:r w:rsidRPr="00F855CD">
        <w:t>Indonesia’s adoption of Mobile Positioning Data (MPD) since 2017 has transformed how the government generates and uses data for decision-making. By integrating MPD into official statistics, Statistics Indonesia significantly reduced data collection costs (by more than 50%) while producing more frequent and granular insights on population mobility, tourism flows, and urban dynamics. These improvements have enabled faster, evidence-based policy responses, including targeting priority tourism areas, optimizing transport and metropolitan planning, and maintaining critical statistics during the COVID-19 pandemic when traditional surveys were disrupted. Beyond efficiency, MPD has strengthened the government’s ability to allocate resources more effectively and design policies that stimulate local economic activity, ultimately supporting revenue generation in key sectors such as tourism. Indonesia’s experience demonstrates that responsibly governed private-sector data can be transformed into a strategic public asset: shifting big data from a “promising innovation” to a trusted, scalable foundation for official statistics and national development financing.</w:t>
      </w:r>
    </w:p>
    <w:p w14:paraId="02C061B5" w14:textId="77777777" w:rsidR="00F855CD" w:rsidRDefault="00F855CD" w:rsidP="00A9201B">
      <w:pPr>
        <w:rPr>
          <w:b/>
          <w:bCs/>
        </w:rPr>
      </w:pPr>
    </w:p>
    <w:p w14:paraId="5E9C1A57" w14:textId="3334918B" w:rsidR="00A9201B" w:rsidRPr="00C65AD2" w:rsidRDefault="00A9201B" w:rsidP="00A9201B">
      <w:pPr>
        <w:rPr>
          <w:b/>
          <w:bCs/>
        </w:rPr>
      </w:pPr>
      <w:r w:rsidRPr="00C65AD2">
        <w:rPr>
          <w:b/>
          <w:bCs/>
        </w:rPr>
        <w:t>Uganda – Digital tool for intergovernmental fiscal transfers</w:t>
      </w:r>
    </w:p>
    <w:p w14:paraId="25AB754A" w14:textId="77777777" w:rsidR="00A9201B" w:rsidRDefault="00A9201B" w:rsidP="00A9201B">
      <w:r w:rsidRPr="00C65AD2">
        <w:t xml:space="preserve">Uganda’s interoperable platform for managing intergovernmental fiscal transfers highlights how common standards and shared data registries improve fiscal transparency and equity. By integrating fragmented datasets across ministries and levels of government, the system enabled more accurate allocation, monitoring, and accountability for transfers. The initiative shows that legal clarity, agreed </w:t>
      </w:r>
      <w:r w:rsidRPr="00C65AD2">
        <w:lastRenderedPageBreak/>
        <w:t>standards, and governance arrangements are as critical as technology in unlocking the value of fiscal data.</w:t>
      </w:r>
    </w:p>
    <w:p w14:paraId="2F1F35C8" w14:textId="77777777" w:rsidR="006547F0" w:rsidRDefault="006547F0" w:rsidP="00A9201B"/>
    <w:p w14:paraId="78D47956" w14:textId="77777777" w:rsidR="006547F0" w:rsidRPr="00C65AD2" w:rsidRDefault="006547F0" w:rsidP="006547F0">
      <w:pPr>
        <w:rPr>
          <w:b/>
          <w:bCs/>
        </w:rPr>
      </w:pPr>
      <w:r w:rsidRPr="00C65AD2">
        <w:rPr>
          <w:b/>
          <w:bCs/>
        </w:rPr>
        <w:t>Somalia – Machine learning to fill population data gaps</w:t>
      </w:r>
    </w:p>
    <w:p w14:paraId="0A3FDED1" w14:textId="77777777" w:rsidR="006547F0" w:rsidRPr="00C65AD2" w:rsidRDefault="006547F0" w:rsidP="006547F0">
      <w:r w:rsidRPr="00C65AD2">
        <w:t xml:space="preserve">Somalia’s use of machine learning to identify internal displacement illustrates why data investment is indispensable in fragile contexts. By </w:t>
      </w:r>
      <w:proofErr w:type="spellStart"/>
      <w:r w:rsidRPr="00C65AD2">
        <w:t>analysing</w:t>
      </w:r>
      <w:proofErr w:type="spellEnd"/>
      <w:r w:rsidRPr="00C65AD2">
        <w:t xml:space="preserve"> satellite imagery to detect IDP settlements, the statistical office generated evidence critical for humanitarian response and planning where traditional data sources were unavailable. Complementary investment in governance and leadership helped ensure that this new capability could be sustained and reused.</w:t>
      </w:r>
    </w:p>
    <w:p w14:paraId="55982750" w14:textId="77777777" w:rsidR="00FE2408" w:rsidRDefault="00FE2408" w:rsidP="00A9201B"/>
    <w:p w14:paraId="7D3205E1" w14:textId="77777777" w:rsidR="00FE2408" w:rsidRPr="00C65AD2" w:rsidRDefault="00FE2408" w:rsidP="00FE2408">
      <w:pPr>
        <w:rPr>
          <w:b/>
          <w:bCs/>
        </w:rPr>
      </w:pPr>
      <w:r w:rsidRPr="00C65AD2">
        <w:rPr>
          <w:b/>
          <w:bCs/>
        </w:rPr>
        <w:t>World Bank – Interoperability and digital public infrastructure</w:t>
      </w:r>
    </w:p>
    <w:p w14:paraId="03187922" w14:textId="77777777" w:rsidR="00FE2408" w:rsidRDefault="00FE2408" w:rsidP="00FE2408">
      <w:r w:rsidRPr="00C65AD2">
        <w:t>The World Bank’s work on interoperability shows that data sharing failures are often governance failures, not technical ones. International experience demonstrates that legal alignment, shared standards, and institutional coordination are prerequisites for effective digital public infrastructure. Where these foundations are in place, governments are better able to link data across systems, improve fiscal management, and support evidence</w:t>
      </w:r>
      <w:r w:rsidRPr="00C65AD2">
        <w:noBreakHyphen/>
        <w:t>based policymaking while safeguarding privacy and trust.</w:t>
      </w:r>
    </w:p>
    <w:p w14:paraId="7CF8AD46" w14:textId="77777777" w:rsidR="006C3E58" w:rsidRDefault="006C3E58" w:rsidP="006C3E58">
      <w:pPr>
        <w:rPr>
          <w:b/>
          <w:bCs/>
        </w:rPr>
      </w:pPr>
    </w:p>
    <w:p w14:paraId="04177CBC" w14:textId="00EF7218" w:rsidR="006C3E58" w:rsidRPr="00C65AD2" w:rsidRDefault="006C3E58" w:rsidP="006C3E58">
      <w:pPr>
        <w:rPr>
          <w:b/>
          <w:bCs/>
        </w:rPr>
      </w:pPr>
      <w:r w:rsidRPr="00C65AD2">
        <w:rPr>
          <w:b/>
          <w:bCs/>
        </w:rPr>
        <w:t>UNODC – Measuring corruption through standards</w:t>
      </w:r>
    </w:p>
    <w:p w14:paraId="1418E22F" w14:textId="77777777" w:rsidR="006C3E58" w:rsidRPr="00C65AD2" w:rsidRDefault="006C3E58" w:rsidP="006C3E58">
      <w:r w:rsidRPr="00C65AD2">
        <w:t>The UNODC Statistical Framework to Measure Corruption demonstrates how investing in common standards strengthens accountability and policy effectiveness. By enabling comparable, experience</w:t>
      </w:r>
      <w:r w:rsidRPr="00C65AD2">
        <w:noBreakHyphen/>
        <w:t>based corruption statistics aligned with SDG 16, the framework allows governments to move from perception to evidence. This improves targeting of anti</w:t>
      </w:r>
      <w:r w:rsidRPr="00C65AD2">
        <w:noBreakHyphen/>
        <w:t>corruption measures and strengthens the credibility of reporting to citizens and international partners.</w:t>
      </w:r>
    </w:p>
    <w:p w14:paraId="488DA64F" w14:textId="77777777" w:rsidR="00FE2408" w:rsidRPr="00C65AD2" w:rsidRDefault="00FE2408" w:rsidP="00A9201B"/>
    <w:p w14:paraId="0EF0E93F" w14:textId="77777777" w:rsidR="000A1800" w:rsidRDefault="000A1800">
      <w:pPr>
        <w:rPr>
          <w:rFonts w:ascii="Calibri" w:hAnsi="Calibri" w:cs="Calibri"/>
          <w:sz w:val="24"/>
          <w:szCs w:val="24"/>
        </w:rPr>
      </w:pPr>
    </w:p>
    <w:p w14:paraId="576A70FD" w14:textId="33F799DB" w:rsidR="00C4390A" w:rsidRDefault="00C4390A">
      <w:pPr>
        <w:rPr>
          <w:rFonts w:ascii="Calibri" w:hAnsi="Calibri" w:cs="Calibri"/>
          <w:sz w:val="24"/>
          <w:szCs w:val="24"/>
        </w:rPr>
      </w:pPr>
      <w:r>
        <w:rPr>
          <w:rFonts w:ascii="Calibri" w:hAnsi="Calibri" w:cs="Calibri"/>
          <w:b/>
          <w:bCs/>
          <w:noProof/>
          <w:sz w:val="24"/>
          <w:szCs w:val="24"/>
        </w:rPr>
        <mc:AlternateContent>
          <mc:Choice Requires="wps">
            <w:drawing>
              <wp:anchor distT="0" distB="0" distL="114300" distR="114300" simplePos="0" relativeHeight="251665408" behindDoc="1" locked="0" layoutInCell="1" allowOverlap="1" wp14:anchorId="3CD628B9" wp14:editId="7EE50397">
                <wp:simplePos x="0" y="0"/>
                <wp:positionH relativeFrom="page">
                  <wp:posOffset>914400</wp:posOffset>
                </wp:positionH>
                <wp:positionV relativeFrom="paragraph">
                  <wp:posOffset>19050</wp:posOffset>
                </wp:positionV>
                <wp:extent cx="6286500" cy="323850"/>
                <wp:effectExtent l="57150" t="19050" r="76200" b="95250"/>
                <wp:wrapNone/>
                <wp:docPr id="337009885" name="Rectangle 2"/>
                <wp:cNvGraphicFramePr/>
                <a:graphic xmlns:a="http://schemas.openxmlformats.org/drawingml/2006/main">
                  <a:graphicData uri="http://schemas.microsoft.com/office/word/2010/wordprocessingShape">
                    <wps:wsp>
                      <wps:cNvSpPr/>
                      <wps:spPr>
                        <a:xfrm>
                          <a:off x="0" y="0"/>
                          <a:ext cx="6286500" cy="323850"/>
                        </a:xfrm>
                        <a:prstGeom prst="rect">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6B563C23" w14:textId="77777777" w:rsidR="00C4390A" w:rsidRPr="00C4390A" w:rsidRDefault="00C4390A" w:rsidP="00C4390A">
                            <w:pPr>
                              <w:rPr>
                                <w:rFonts w:ascii="Calibri" w:hAnsi="Calibri" w:cs="Calibri"/>
                                <w:b/>
                                <w:bCs/>
                                <w:sz w:val="24"/>
                                <w:szCs w:val="24"/>
                              </w:rPr>
                            </w:pPr>
                            <w:r w:rsidRPr="00C4390A">
                              <w:rPr>
                                <w:rFonts w:ascii="Calibri" w:eastAsia="Calibri" w:hAnsi="Calibri" w:cs="Calibri"/>
                                <w:b/>
                                <w:bCs/>
                                <w:sz w:val="24"/>
                                <w:szCs w:val="24"/>
                              </w:rPr>
                              <w:t xml:space="preserve">Recommendation 4: </w:t>
                            </w:r>
                            <w:r w:rsidRPr="00C4390A">
                              <w:rPr>
                                <w:rFonts w:ascii="Calibri" w:hAnsi="Calibri" w:cs="Calibri"/>
                                <w:b/>
                                <w:bCs/>
                                <w:sz w:val="24"/>
                                <w:szCs w:val="24"/>
                              </w:rPr>
                              <w:t>Invest in national data and statistics capacity</w:t>
                            </w:r>
                          </w:p>
                          <w:p w14:paraId="60B9ABF7" w14:textId="664DF569" w:rsidR="00C4390A" w:rsidRPr="000A1800" w:rsidRDefault="00C4390A" w:rsidP="00C4390A">
                            <w:pPr>
                              <w:rPr>
                                <w:rFonts w:ascii="Calibri" w:hAnsi="Calibri" w:cs="Calibri"/>
                                <w:sz w:val="24"/>
                                <w:szCs w:val="24"/>
                              </w:rPr>
                            </w:pPr>
                          </w:p>
                          <w:p w14:paraId="4E0701D0" w14:textId="77777777" w:rsidR="00C4390A" w:rsidRDefault="00C4390A" w:rsidP="00C4390A">
                            <w:pPr>
                              <w:spacing w:line="240" w:lineRule="auto"/>
                              <w:rPr>
                                <w:rFonts w:ascii="Calibri" w:eastAsia="Calibri" w:hAnsi="Calibri" w:cs="Calibri"/>
                                <w:b/>
                                <w:bCs/>
                                <w:sz w:val="24"/>
                                <w:szCs w:val="24"/>
                              </w:rPr>
                            </w:pPr>
                          </w:p>
                          <w:p w14:paraId="7DDD75A8" w14:textId="77777777" w:rsidR="00C4390A" w:rsidRDefault="00C4390A" w:rsidP="00C439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628B9" id="_x0000_s1028" style="position:absolute;margin-left:1in;margin-top:1.5pt;width:495pt;height:2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" fillcolor="#3f80cd" strokecolor="#4a7ebb">
                <v:fill color2="#9bc1ff" rotate="t" angle="180" focus="100%" type="gradient">
                  <o:fill v:ext="view" type="gradientUnscaled"/>
                </v:fill>
                <v:shadow on="t" color="black" opacity="22937f" origin=",.5" offset="0,.63889mm"/>
                <v:textbox>
                  <w:txbxContent>
                    <w:p w14:paraId="6B563C23" w14:textId="77777777" w:rsidR="00C4390A" w:rsidRPr="00C4390A" w:rsidRDefault="00C4390A" w:rsidP="00C4390A">
                      <w:pPr>
                        <w:rPr>
                          <w:rFonts w:ascii="Calibri" w:hAnsi="Calibri" w:cs="Calibri"/>
                          <w:b/>
                          <w:bCs/>
                          <w:sz w:val="24"/>
                          <w:szCs w:val="24"/>
                        </w:rPr>
                      </w:pPr>
                      <w:r w:rsidRPr="00C4390A">
                        <w:rPr>
                          <w:rFonts w:ascii="Calibri" w:eastAsia="Calibri" w:hAnsi="Calibri" w:cs="Calibri"/>
                          <w:b/>
                          <w:bCs/>
                          <w:sz w:val="24"/>
                          <w:szCs w:val="24"/>
                        </w:rPr>
                        <w:t xml:space="preserve">Recommendation </w:t>
                      </w:r>
                      <w:r w:rsidRPr="00C4390A">
                        <w:rPr>
                          <w:rFonts w:ascii="Calibri" w:eastAsia="Calibri" w:hAnsi="Calibri" w:cs="Calibri"/>
                          <w:b/>
                          <w:bCs/>
                          <w:sz w:val="24"/>
                          <w:szCs w:val="24"/>
                        </w:rPr>
                        <w:t>4</w:t>
                      </w:r>
                      <w:r w:rsidRPr="00C4390A">
                        <w:rPr>
                          <w:rFonts w:ascii="Calibri" w:eastAsia="Calibri" w:hAnsi="Calibri" w:cs="Calibri"/>
                          <w:b/>
                          <w:bCs/>
                          <w:sz w:val="24"/>
                          <w:szCs w:val="24"/>
                        </w:rPr>
                        <w:t xml:space="preserve">: </w:t>
                      </w:r>
                      <w:r w:rsidRPr="00C4390A">
                        <w:rPr>
                          <w:rFonts w:ascii="Calibri" w:hAnsi="Calibri" w:cs="Calibri"/>
                          <w:b/>
                          <w:bCs/>
                          <w:sz w:val="24"/>
                          <w:szCs w:val="24"/>
                        </w:rPr>
                        <w:t>Invest in national data and statistics capacity</w:t>
                      </w:r>
                    </w:p>
                    <w:p w14:paraId="60B9ABF7" w14:textId="664DF569" w:rsidR="00C4390A" w:rsidRPr="000A1800" w:rsidRDefault="00C4390A" w:rsidP="00C4390A">
                      <w:pPr>
                        <w:rPr>
                          <w:rFonts w:ascii="Calibri" w:hAnsi="Calibri" w:cs="Calibri"/>
                          <w:sz w:val="24"/>
                          <w:szCs w:val="24"/>
                        </w:rPr>
                      </w:pPr>
                    </w:p>
                    <w:p w14:paraId="4E0701D0" w14:textId="77777777" w:rsidR="00C4390A" w:rsidRDefault="00C4390A" w:rsidP="00C4390A">
                      <w:pPr>
                        <w:spacing w:line="240" w:lineRule="auto"/>
                        <w:rPr>
                          <w:rFonts w:ascii="Calibri" w:eastAsia="Calibri" w:hAnsi="Calibri" w:cs="Calibri"/>
                          <w:b/>
                          <w:bCs/>
                          <w:sz w:val="24"/>
                          <w:szCs w:val="24"/>
                        </w:rPr>
                      </w:pPr>
                    </w:p>
                    <w:p w14:paraId="7DDD75A8" w14:textId="77777777" w:rsidR="00C4390A" w:rsidRDefault="00C4390A" w:rsidP="00C4390A">
                      <w:pPr>
                        <w:jc w:val="center"/>
                      </w:pPr>
                    </w:p>
                  </w:txbxContent>
                </v:textbox>
                <w10:wrap anchorx="page"/>
              </v:rect>
            </w:pict>
          </mc:Fallback>
        </mc:AlternateContent>
      </w:r>
    </w:p>
    <w:p w14:paraId="575396FA" w14:textId="77777777" w:rsidR="00C4390A" w:rsidRDefault="00C4390A">
      <w:pPr>
        <w:rPr>
          <w:rFonts w:ascii="Calibri" w:hAnsi="Calibri" w:cs="Calibri"/>
          <w:sz w:val="24"/>
          <w:szCs w:val="24"/>
        </w:rPr>
      </w:pPr>
    </w:p>
    <w:p w14:paraId="6F91CA60" w14:textId="1639D152" w:rsidR="007A2BA2" w:rsidRDefault="000A3FBF" w:rsidP="009D3EEE">
      <w:pPr>
        <w:rPr>
          <w:b/>
          <w:bCs/>
        </w:rPr>
      </w:pPr>
      <w:r>
        <w:rPr>
          <w:b/>
          <w:bCs/>
        </w:rPr>
        <w:t>Calculating costs of producing a new SDG indicator</w:t>
      </w:r>
    </w:p>
    <w:p w14:paraId="74FB3145" w14:textId="66CA259A" w:rsidR="007A2BA2" w:rsidRPr="00DD71EF" w:rsidRDefault="00E37524" w:rsidP="005657DA">
      <w:pPr>
        <w:spacing w:line="240" w:lineRule="auto"/>
      </w:pPr>
      <w:r w:rsidRPr="00DD71EF">
        <w:t xml:space="preserve">Colombia advanced the production of SDG indicator 2.1.2 </w:t>
      </w:r>
      <w:r w:rsidR="00B94DDC" w:rsidRPr="00DD71EF">
        <w:t>on food security</w:t>
      </w:r>
      <w:r w:rsidRPr="00DD71EF">
        <w:t xml:space="preserve"> through a collaboration with FAO aimed at building national capacity to apply new statistical estimation methods. The initial pilot designed for this purpose</w:t>
      </w:r>
      <w:r w:rsidR="00B94DDC" w:rsidRPr="00DD71EF">
        <w:t xml:space="preserve"> </w:t>
      </w:r>
      <w:r w:rsidRPr="00DD71EF">
        <w:t xml:space="preserve">proved financially unfeasible; it had an estimated cost of USD 119,000. This situation prompted </w:t>
      </w:r>
      <w:r w:rsidR="006A68A8" w:rsidRPr="00DD71EF">
        <w:t xml:space="preserve">the national statistical office and </w:t>
      </w:r>
      <w:r w:rsidRPr="00DD71EF">
        <w:t xml:space="preserve">FAO </w:t>
      </w:r>
      <w:r w:rsidR="006A68A8" w:rsidRPr="00DD71EF">
        <w:t xml:space="preserve">to take an alternative </w:t>
      </w:r>
      <w:r w:rsidRPr="00DD71EF">
        <w:t>approach</w:t>
      </w:r>
      <w:r w:rsidR="00FA71A5" w:rsidRPr="00DD71EF">
        <w:t xml:space="preserve">, developing a </w:t>
      </w:r>
      <w:r w:rsidRPr="00DD71EF">
        <w:t xml:space="preserve">module </w:t>
      </w:r>
      <w:r w:rsidR="00FA71A5" w:rsidRPr="00DD71EF">
        <w:t>for the</w:t>
      </w:r>
      <w:r w:rsidRPr="00DD71EF">
        <w:t xml:space="preserve"> Quality of Life Survey </w:t>
      </w:r>
      <w:r w:rsidR="00515AC3" w:rsidRPr="00DD71EF">
        <w:t xml:space="preserve">which </w:t>
      </w:r>
      <w:r w:rsidR="002F4CFB" w:rsidRPr="00DD71EF">
        <w:t xml:space="preserve">runs regularly. </w:t>
      </w:r>
      <w:r w:rsidR="00346FE5" w:rsidRPr="00DD71EF">
        <w:t xml:space="preserve">Data collection still requires funding however, </w:t>
      </w:r>
      <w:r w:rsidR="00CF21B3" w:rsidRPr="00DD71EF">
        <w:t>a</w:t>
      </w:r>
      <w:r w:rsidRPr="00DD71EF">
        <w:t>s of 2025, implementation costs summed approximately USD 157,000</w:t>
      </w:r>
      <w:r w:rsidR="00CF21B3" w:rsidRPr="00DD71EF">
        <w:t xml:space="preserve">. </w:t>
      </w:r>
      <w:r w:rsidRPr="00DD71EF">
        <w:t xml:space="preserve">This process </w:t>
      </w:r>
      <w:r w:rsidR="00EB77B5" w:rsidRPr="00DD71EF">
        <w:t>experience demonstrated the importance of making the cost of SDG data production visible. By documenting the investment required for nationwide urban and rural data collection, Colombia provided a concrete reference for what it takes to sustain high</w:t>
      </w:r>
      <w:r w:rsidR="00EB77B5" w:rsidRPr="00DD71EF">
        <w:rPr>
          <w:rFonts w:ascii="Cambria Math" w:hAnsi="Cambria Math" w:cs="Cambria Math"/>
        </w:rPr>
        <w:t>‑</w:t>
      </w:r>
      <w:r w:rsidR="00EB77B5" w:rsidRPr="00DD71EF">
        <w:t>quality, nationally representative SDG monitoring. This transparency strengthens the case for treating data as a strategic public investment, rather than a marginal technical expense</w:t>
      </w:r>
      <w:r w:rsidR="004D2FEF" w:rsidRPr="00DD71EF">
        <w:t xml:space="preserve">. </w:t>
      </w:r>
      <w:r w:rsidR="00EB77B5" w:rsidRPr="00DD71EF">
        <w:t>The experience also reinforced the value of institutionalizing SDG indicators within national survey systems, showing how sustained financing enables continuity, credibility, and long</w:t>
      </w:r>
      <w:r w:rsidR="00EB77B5" w:rsidRPr="00DD71EF">
        <w:rPr>
          <w:rFonts w:ascii="Cambria Math" w:hAnsi="Cambria Math" w:cs="Cambria Math"/>
        </w:rPr>
        <w:t>‑</w:t>
      </w:r>
      <w:r w:rsidR="00EB77B5" w:rsidRPr="00DD71EF">
        <w:t>term use of SDG data</w:t>
      </w:r>
    </w:p>
    <w:p w14:paraId="27F2D95B" w14:textId="77777777" w:rsidR="00E37524" w:rsidRDefault="00E37524" w:rsidP="009D3EEE">
      <w:pPr>
        <w:rPr>
          <w:b/>
          <w:bCs/>
        </w:rPr>
      </w:pPr>
    </w:p>
    <w:p w14:paraId="59DF2FEF" w14:textId="3CE1F5E3" w:rsidR="00DD71EF" w:rsidRPr="00DD71EF" w:rsidRDefault="00DD71EF" w:rsidP="00DD71EF">
      <w:pPr>
        <w:pStyle w:val="paragraph"/>
        <w:spacing w:before="0" w:beforeAutospacing="0" w:after="0" w:afterAutospacing="0"/>
        <w:textAlignment w:val="baseline"/>
        <w:rPr>
          <w:rStyle w:val="normaltextrun"/>
          <w:rFonts w:ascii="Arial" w:hAnsi="Arial" w:cs="Arial"/>
          <w:b/>
          <w:bCs/>
          <w:sz w:val="22"/>
          <w:szCs w:val="22"/>
        </w:rPr>
      </w:pPr>
      <w:r w:rsidRPr="00DD71EF">
        <w:rPr>
          <w:rStyle w:val="normaltextrun"/>
          <w:rFonts w:ascii="Arial" w:hAnsi="Arial" w:cs="Arial"/>
          <w:b/>
          <w:bCs/>
          <w:sz w:val="22"/>
          <w:szCs w:val="22"/>
        </w:rPr>
        <w:t>Potential cost of not updating key figures</w:t>
      </w:r>
    </w:p>
    <w:p w14:paraId="301600CF" w14:textId="053C6767" w:rsidR="00DD71EF" w:rsidRPr="00C5162C" w:rsidRDefault="00DD71EF" w:rsidP="00C5162C">
      <w:pPr>
        <w:pStyle w:val="paragraph"/>
        <w:spacing w:before="0" w:beforeAutospacing="0" w:after="0" w:afterAutospacing="0"/>
        <w:textAlignment w:val="baseline"/>
        <w:rPr>
          <w:rFonts w:ascii="Arial" w:hAnsi="Arial" w:cs="Arial"/>
          <w:sz w:val="22"/>
          <w:szCs w:val="22"/>
        </w:rPr>
      </w:pPr>
      <w:r w:rsidRPr="00DD71EF">
        <w:rPr>
          <w:rStyle w:val="normaltextrun"/>
          <w:rFonts w:ascii="Arial" w:hAnsi="Arial" w:cs="Arial"/>
          <w:sz w:val="22"/>
          <w:szCs w:val="22"/>
        </w:rPr>
        <w:t>Gross Domestic Product (GDP) is one of the most important statistical measures of wealth, economic growth, and overall economic activity. An integral part of GDP statistics is the </w:t>
      </w:r>
      <w:r w:rsidRPr="00DD71EF">
        <w:rPr>
          <w:rStyle w:val="normaltextrun"/>
          <w:rFonts w:ascii="Arial" w:hAnsi="Arial" w:cs="Arial"/>
          <w:i/>
          <w:iCs/>
          <w:sz w:val="22"/>
          <w:szCs w:val="22"/>
        </w:rPr>
        <w:t>base year</w:t>
      </w:r>
      <w:r w:rsidR="00A971B6">
        <w:rPr>
          <w:rStyle w:val="normaltextrun"/>
          <w:rFonts w:ascii="Arial" w:hAnsi="Arial" w:cs="Arial"/>
          <w:sz w:val="22"/>
          <w:szCs w:val="22"/>
        </w:rPr>
        <w:t xml:space="preserve">, which </w:t>
      </w:r>
      <w:r w:rsidRPr="00DD71EF">
        <w:rPr>
          <w:rStyle w:val="normaltextrun"/>
          <w:rFonts w:ascii="Arial" w:hAnsi="Arial" w:cs="Arial"/>
          <w:sz w:val="22"/>
          <w:szCs w:val="22"/>
        </w:rPr>
        <w:lastRenderedPageBreak/>
        <w:t>denotes the year to which all subsequent years are compared. If a country has an outdated base year, the measurement of GDP may not capture the full extent of the economy or may weigh certain sectors disproportionately to their actual share of economic activity</w:t>
      </w:r>
      <w:r w:rsidR="0012231F">
        <w:rPr>
          <w:rStyle w:val="normaltextrun"/>
          <w:rFonts w:ascii="Arial" w:hAnsi="Arial" w:cs="Arial"/>
          <w:sz w:val="22"/>
          <w:szCs w:val="22"/>
        </w:rPr>
        <w:t xml:space="preserve">. </w:t>
      </w:r>
      <w:r w:rsidRPr="00DD71EF">
        <w:rPr>
          <w:rStyle w:val="normaltextrun"/>
          <w:rFonts w:ascii="Arial" w:hAnsi="Arial" w:cs="Arial"/>
          <w:sz w:val="22"/>
          <w:szCs w:val="22"/>
        </w:rPr>
        <w:t xml:space="preserve">By updating the base year and incorporating new data sources and sectors, GDP estimates </w:t>
      </w:r>
      <w:r w:rsidR="00015DDA">
        <w:rPr>
          <w:rStyle w:val="normaltextrun"/>
          <w:rFonts w:ascii="Arial" w:hAnsi="Arial" w:cs="Arial"/>
          <w:sz w:val="22"/>
          <w:szCs w:val="22"/>
        </w:rPr>
        <w:t xml:space="preserve">become </w:t>
      </w:r>
      <w:r w:rsidRPr="00DD71EF">
        <w:rPr>
          <w:rStyle w:val="normaltextrun"/>
          <w:rFonts w:ascii="Arial" w:hAnsi="Arial" w:cs="Arial"/>
          <w:sz w:val="22"/>
          <w:szCs w:val="22"/>
        </w:rPr>
        <w:t xml:space="preserve">more accurate, comparable, and policy relevant. </w:t>
      </w:r>
      <w:r w:rsidR="00015DDA">
        <w:rPr>
          <w:rStyle w:val="normaltextrun"/>
          <w:rFonts w:ascii="Arial" w:hAnsi="Arial" w:cs="Arial"/>
          <w:sz w:val="22"/>
          <w:szCs w:val="22"/>
        </w:rPr>
        <w:t>This is particularly important when the composition of the economy change</w:t>
      </w:r>
      <w:r w:rsidR="00F16E27">
        <w:rPr>
          <w:rStyle w:val="normaltextrun"/>
          <w:rFonts w:ascii="Arial" w:hAnsi="Arial" w:cs="Arial"/>
          <w:sz w:val="22"/>
          <w:szCs w:val="22"/>
        </w:rPr>
        <w:t>s and new sectors grow.</w:t>
      </w:r>
      <w:r w:rsidR="00C5162C">
        <w:rPr>
          <w:rStyle w:val="normaltextrun"/>
          <w:rFonts w:ascii="Arial" w:hAnsi="Arial" w:cs="Arial"/>
          <w:sz w:val="22"/>
          <w:szCs w:val="22"/>
        </w:rPr>
        <w:t xml:space="preserve"> For some countries, an update to GDP base year has led to substantial </w:t>
      </w:r>
      <w:r w:rsidR="00456BAF">
        <w:rPr>
          <w:rStyle w:val="normaltextrun"/>
          <w:rFonts w:ascii="Arial" w:hAnsi="Arial" w:cs="Arial"/>
          <w:sz w:val="22"/>
          <w:szCs w:val="22"/>
        </w:rPr>
        <w:t>increase in GDP and influenced interest rates on debt and credit ratings among others.</w:t>
      </w:r>
      <w:r w:rsidR="00F16E27">
        <w:rPr>
          <w:rStyle w:val="normaltextrun"/>
          <w:rFonts w:ascii="Arial" w:hAnsi="Arial" w:cs="Arial"/>
          <w:sz w:val="22"/>
          <w:szCs w:val="22"/>
        </w:rPr>
        <w:t xml:space="preserve"> Updating the base year of GDP requires </w:t>
      </w:r>
      <w:r w:rsidR="00002F1A">
        <w:rPr>
          <w:rStyle w:val="normaltextrun"/>
          <w:rFonts w:ascii="Arial" w:hAnsi="Arial" w:cs="Arial"/>
          <w:sz w:val="22"/>
          <w:szCs w:val="22"/>
        </w:rPr>
        <w:t>investment, however, as data, such as on sector composition, need to be collected</w:t>
      </w:r>
      <w:r w:rsidR="00C5162C">
        <w:rPr>
          <w:rStyle w:val="normaltextrun"/>
          <w:rFonts w:ascii="Arial" w:hAnsi="Arial" w:cs="Arial"/>
          <w:sz w:val="22"/>
          <w:szCs w:val="22"/>
        </w:rPr>
        <w:t xml:space="preserve"> and processed and all needs to be set properly together in the national accounts system. </w:t>
      </w:r>
    </w:p>
    <w:p w14:paraId="2AEAF4AE" w14:textId="77777777" w:rsidR="00DD71EF" w:rsidRPr="00DD71EF" w:rsidRDefault="00DD71EF" w:rsidP="00C63209">
      <w:pPr>
        <w:rPr>
          <w:b/>
          <w:bCs/>
          <w:lang w:val="en-US"/>
        </w:rPr>
      </w:pPr>
    </w:p>
    <w:p w14:paraId="3A7FED24" w14:textId="2E4860E3" w:rsidR="00B81EE5" w:rsidRDefault="00B81EE5" w:rsidP="00EC67CD">
      <w:pPr>
        <w:rPr>
          <w:b/>
          <w:bCs/>
        </w:rPr>
      </w:pPr>
      <w:r>
        <w:rPr>
          <w:b/>
          <w:bCs/>
        </w:rPr>
        <w:t xml:space="preserve">World Bank </w:t>
      </w:r>
      <w:r w:rsidR="007D6B60" w:rsidRPr="007D6B60">
        <w:rPr>
          <w:b/>
          <w:bCs/>
        </w:rPr>
        <w:t xml:space="preserve">IDA </w:t>
      </w:r>
      <w:r>
        <w:rPr>
          <w:b/>
          <w:bCs/>
        </w:rPr>
        <w:t>l</w:t>
      </w:r>
      <w:r w:rsidR="007D6B60" w:rsidRPr="007D6B60">
        <w:rPr>
          <w:b/>
          <w:bCs/>
        </w:rPr>
        <w:t>oans</w:t>
      </w:r>
      <w:r>
        <w:rPr>
          <w:b/>
          <w:bCs/>
        </w:rPr>
        <w:t xml:space="preserve"> for data and statistics</w:t>
      </w:r>
    </w:p>
    <w:p w14:paraId="445B1504" w14:textId="0E1D8BFA" w:rsidR="006C0371" w:rsidRDefault="007D6B60" w:rsidP="00EC67CD">
      <w:pPr>
        <w:rPr>
          <w:b/>
          <w:bCs/>
        </w:rPr>
      </w:pPr>
      <w:r w:rsidRPr="00B81EE5">
        <w:t>Through successive replenishments under IDA19, IDA20, and IDA21, the World</w:t>
      </w:r>
      <w:r w:rsidRPr="007D6B60">
        <w:rPr>
          <w:b/>
          <w:bCs/>
        </w:rPr>
        <w:t xml:space="preserve"> </w:t>
      </w:r>
      <w:r w:rsidRPr="007D6B60">
        <w:t>Bank has made data and statistics a core element of its support to low</w:t>
      </w:r>
      <w:r w:rsidRPr="007D6B60">
        <w:noBreakHyphen/>
        <w:t>income and fragile countries, recognizing robust data systems as foundational for evidence</w:t>
      </w:r>
      <w:r w:rsidRPr="007D6B60">
        <w:noBreakHyphen/>
        <w:t>based policy-making. Across these cycles, including with catalytic fin</w:t>
      </w:r>
      <w:r w:rsidR="007A3B8A">
        <w:t>anc</w:t>
      </w:r>
      <w:r w:rsidRPr="007D6B60">
        <w:t>ing through the World Bank Group-hosted Global Data Facility Trust Fund, IDA resources have financed investments to strengthen national statistical systems, improve household and enterprise surveys, modernize administrative and geospatial data, and enhance data use for decision</w:t>
      </w:r>
      <w:r w:rsidRPr="007D6B60">
        <w:noBreakHyphen/>
        <w:t>making. Active World Bank Group financing and technical advisory support for countries’ data and statistical systems, capabilities, and institutions span 45 countries, with total lending commitments exceeding $2 billion, reflecting sustained, multi</w:t>
      </w:r>
      <w:r w:rsidRPr="007D6B60">
        <w:noBreakHyphen/>
        <w:t>cycle IDA engagement to build resilient, country</w:t>
      </w:r>
      <w:r w:rsidRPr="007D6B60">
        <w:noBreakHyphen/>
        <w:t>owned data ecosystems that underpin development outcomes.</w:t>
      </w:r>
    </w:p>
    <w:p w14:paraId="02E354FE" w14:textId="77777777" w:rsidR="006C0371" w:rsidRDefault="006C0371" w:rsidP="00EC67CD">
      <w:pPr>
        <w:rPr>
          <w:b/>
          <w:bCs/>
        </w:rPr>
      </w:pPr>
    </w:p>
    <w:p w14:paraId="49118070" w14:textId="75421317" w:rsidR="00EC67CD" w:rsidRPr="00C65AD2" w:rsidRDefault="00EC67CD" w:rsidP="00EC67CD">
      <w:pPr>
        <w:rPr>
          <w:b/>
          <w:bCs/>
        </w:rPr>
      </w:pPr>
      <w:r w:rsidRPr="00C65AD2">
        <w:rPr>
          <w:b/>
          <w:bCs/>
        </w:rPr>
        <w:t xml:space="preserve">World Bank – </w:t>
      </w:r>
      <w:proofErr w:type="spellStart"/>
      <w:r w:rsidRPr="00C65AD2">
        <w:rPr>
          <w:b/>
          <w:bCs/>
        </w:rPr>
        <w:t>GovTech</w:t>
      </w:r>
      <w:proofErr w:type="spellEnd"/>
      <w:r w:rsidRPr="00C65AD2">
        <w:rPr>
          <w:b/>
          <w:bCs/>
        </w:rPr>
        <w:t xml:space="preserve"> Maturity Index</w:t>
      </w:r>
    </w:p>
    <w:p w14:paraId="3F791CFB" w14:textId="77777777" w:rsidR="00EC67CD" w:rsidRPr="00C65AD2" w:rsidRDefault="00EC67CD" w:rsidP="00EC67CD">
      <w:r w:rsidRPr="00C65AD2">
        <w:t xml:space="preserve">The </w:t>
      </w:r>
      <w:proofErr w:type="spellStart"/>
      <w:r w:rsidRPr="00C65AD2">
        <w:t>GovTech</w:t>
      </w:r>
      <w:proofErr w:type="spellEnd"/>
      <w:r w:rsidRPr="00C65AD2">
        <w:t xml:space="preserve"> Maturity Index demonstrates how common diagnostic frameworks can guide strategic investment in digital and data systems. By assessing countries across core systems, service delivery, citizen engagement, and data governance, the Index provides a shared reference point for </w:t>
      </w:r>
      <w:proofErr w:type="spellStart"/>
      <w:r w:rsidRPr="00C65AD2">
        <w:t>prioritising</w:t>
      </w:r>
      <w:proofErr w:type="spellEnd"/>
      <w:r w:rsidRPr="00C65AD2">
        <w:t xml:space="preserve"> reforms. Rather than ranking countries, it supports evidence</w:t>
      </w:r>
      <w:r w:rsidRPr="00C65AD2">
        <w:noBreakHyphen/>
        <w:t>based sequencing of investments, helping governments and partners focus on foundational gaps that constrain financing effectiveness and service delivery.</w:t>
      </w:r>
    </w:p>
    <w:p w14:paraId="73633860" w14:textId="77777777" w:rsidR="00DD71EF" w:rsidRDefault="00DD71EF" w:rsidP="00C63209">
      <w:pPr>
        <w:rPr>
          <w:b/>
          <w:bCs/>
        </w:rPr>
      </w:pPr>
    </w:p>
    <w:p w14:paraId="12C573D0" w14:textId="12B98D02" w:rsidR="00C63209" w:rsidRPr="00C65AD2" w:rsidRDefault="00C63209" w:rsidP="00C63209">
      <w:pPr>
        <w:rPr>
          <w:b/>
          <w:bCs/>
        </w:rPr>
      </w:pPr>
      <w:r w:rsidRPr="00C65AD2">
        <w:rPr>
          <w:b/>
          <w:bCs/>
        </w:rPr>
        <w:t xml:space="preserve">Namibia – Automating </w:t>
      </w:r>
      <w:proofErr w:type="spellStart"/>
      <w:r w:rsidRPr="00C65AD2">
        <w:rPr>
          <w:b/>
          <w:bCs/>
        </w:rPr>
        <w:t>labour</w:t>
      </w:r>
      <w:proofErr w:type="spellEnd"/>
      <w:r w:rsidRPr="00C65AD2">
        <w:rPr>
          <w:b/>
          <w:bCs/>
        </w:rPr>
        <w:t xml:space="preserve"> and civil registration statistics</w:t>
      </w:r>
    </w:p>
    <w:p w14:paraId="3BF8A25E" w14:textId="77777777" w:rsidR="00C63209" w:rsidRPr="00C65AD2" w:rsidRDefault="00C63209" w:rsidP="00C63209">
      <w:r w:rsidRPr="00C65AD2">
        <w:t xml:space="preserve">Namibia shows how targeted digital investments can deliver rapid efficiency gains in constrained environments. By automating processing of civil registration and </w:t>
      </w:r>
      <w:proofErr w:type="spellStart"/>
      <w:r w:rsidRPr="00C65AD2">
        <w:t>labour</w:t>
      </w:r>
      <w:proofErr w:type="spellEnd"/>
      <w:r w:rsidRPr="00C65AD2">
        <w:t xml:space="preserve"> statistics, the statistics agency dramatically reduced processing times and manual workloads while improving quality. These focused investments strengthened core statistical functions and freed up staff capacity for higher</w:t>
      </w:r>
      <w:r w:rsidRPr="00C65AD2">
        <w:noBreakHyphen/>
        <w:t>value analysis.</w:t>
      </w:r>
    </w:p>
    <w:p w14:paraId="4C79C5A4" w14:textId="77777777" w:rsidR="00C63209" w:rsidRDefault="00C63209" w:rsidP="00C63209">
      <w:pPr>
        <w:rPr>
          <w:rFonts w:ascii="Calibri" w:hAnsi="Calibri" w:cs="Calibri"/>
          <w:sz w:val="24"/>
          <w:szCs w:val="24"/>
        </w:rPr>
      </w:pPr>
    </w:p>
    <w:p w14:paraId="22562011" w14:textId="470DBC3C" w:rsidR="009D3EEE" w:rsidRPr="00C65AD2" w:rsidRDefault="009D3EEE" w:rsidP="009D3EEE">
      <w:pPr>
        <w:rPr>
          <w:b/>
          <w:bCs/>
        </w:rPr>
      </w:pPr>
      <w:r w:rsidRPr="00C65AD2">
        <w:rPr>
          <w:b/>
          <w:bCs/>
        </w:rPr>
        <w:t xml:space="preserve">Rwanda – Census </w:t>
      </w:r>
      <w:proofErr w:type="spellStart"/>
      <w:r w:rsidRPr="00C65AD2">
        <w:rPr>
          <w:b/>
          <w:bCs/>
        </w:rPr>
        <w:t>modernisation</w:t>
      </w:r>
      <w:proofErr w:type="spellEnd"/>
    </w:p>
    <w:p w14:paraId="5D19009E" w14:textId="77777777" w:rsidR="009D3EEE" w:rsidRPr="00C65AD2" w:rsidRDefault="009D3EEE" w:rsidP="009D3EEE">
      <w:r w:rsidRPr="00C65AD2">
        <w:t xml:space="preserve">Rwanda’s census </w:t>
      </w:r>
      <w:proofErr w:type="spellStart"/>
      <w:r w:rsidRPr="00C65AD2">
        <w:t>modernisation</w:t>
      </w:r>
      <w:proofErr w:type="spellEnd"/>
      <w:r w:rsidRPr="00C65AD2">
        <w:t xml:space="preserve"> highlights the long</w:t>
      </w:r>
      <w:r w:rsidRPr="00C65AD2">
        <w:noBreakHyphen/>
        <w:t>term payoff of investing in core statistical infrastructure. Digital data collection, automated quality controls, and real</w:t>
      </w:r>
      <w:r w:rsidRPr="00C65AD2">
        <w:noBreakHyphen/>
        <w:t xml:space="preserve">time monitoring shortened production cycles and increased transparency, strengthening trust in population data. The reforms demonstrate that </w:t>
      </w:r>
      <w:proofErr w:type="spellStart"/>
      <w:r w:rsidRPr="00C65AD2">
        <w:t>modernised</w:t>
      </w:r>
      <w:proofErr w:type="spellEnd"/>
      <w:r w:rsidRPr="00C65AD2">
        <w:t xml:space="preserve"> systems are not about technology alone, but about building confidence in national statistics as a foundation for policy and financing decisions.</w:t>
      </w:r>
    </w:p>
    <w:p w14:paraId="7B90396B" w14:textId="77777777" w:rsidR="009D3EEE" w:rsidRPr="00A9201B" w:rsidRDefault="009D3EEE">
      <w:pPr>
        <w:rPr>
          <w:rFonts w:ascii="Calibri" w:hAnsi="Calibri" w:cs="Calibri"/>
          <w:sz w:val="24"/>
          <w:szCs w:val="24"/>
        </w:rPr>
      </w:pPr>
    </w:p>
    <w:p w14:paraId="410A8EBB" w14:textId="55E1A2CB" w:rsidR="001118EA" w:rsidRPr="003D3F4E" w:rsidRDefault="001118EA" w:rsidP="001118EA">
      <w:pPr>
        <w:pStyle w:val="Default"/>
        <w:rPr>
          <w:rFonts w:ascii="Arial" w:hAnsi="Arial" w:cs="Arial"/>
          <w:b/>
          <w:bCs/>
        </w:rPr>
      </w:pPr>
      <w:r w:rsidRPr="003D3F4E">
        <w:rPr>
          <w:rFonts w:ascii="Arial" w:hAnsi="Arial" w:cs="Arial"/>
          <w:b/>
          <w:bCs/>
        </w:rPr>
        <w:t>Malawi</w:t>
      </w:r>
      <w:r w:rsidR="00706846" w:rsidRPr="003D3F4E">
        <w:rPr>
          <w:rFonts w:ascii="Arial" w:hAnsi="Arial" w:cs="Arial"/>
          <w:b/>
          <w:bCs/>
        </w:rPr>
        <w:t xml:space="preserve"> uses scenario models to </w:t>
      </w:r>
      <w:r w:rsidR="00CD027B" w:rsidRPr="003D3F4E">
        <w:rPr>
          <w:rFonts w:ascii="Arial" w:hAnsi="Arial" w:cs="Arial"/>
          <w:b/>
          <w:bCs/>
        </w:rPr>
        <w:t xml:space="preserve">compare policy options </w:t>
      </w:r>
      <w:r w:rsidRPr="003D3F4E">
        <w:rPr>
          <w:rFonts w:ascii="Arial" w:hAnsi="Arial" w:cs="Arial"/>
          <w:b/>
          <w:bCs/>
        </w:rPr>
        <w:t xml:space="preserve"> </w:t>
      </w:r>
    </w:p>
    <w:p w14:paraId="28B29195" w14:textId="6E6AA238" w:rsidR="000A1800" w:rsidRPr="001C6157" w:rsidRDefault="001118EA" w:rsidP="001C6157">
      <w:pPr>
        <w:pStyle w:val="Default"/>
        <w:rPr>
          <w:rFonts w:ascii="Arial" w:hAnsi="Arial" w:cs="Arial"/>
          <w:sz w:val="22"/>
          <w:szCs w:val="22"/>
        </w:rPr>
      </w:pPr>
      <w:r w:rsidRPr="003D3F4E">
        <w:rPr>
          <w:rFonts w:ascii="Arial" w:hAnsi="Arial" w:cs="Arial"/>
          <w:sz w:val="22"/>
          <w:szCs w:val="22"/>
        </w:rPr>
        <w:lastRenderedPageBreak/>
        <w:t>Until recently, Malawi’s government had limited tools to understand how different policy choices might play out in the future. In 2025</w:t>
      </w:r>
      <w:r w:rsidR="00CD027B" w:rsidRPr="003D3F4E">
        <w:rPr>
          <w:rFonts w:ascii="Arial" w:hAnsi="Arial" w:cs="Arial"/>
          <w:sz w:val="22"/>
          <w:szCs w:val="22"/>
        </w:rPr>
        <w:t xml:space="preserve"> </w:t>
      </w:r>
      <w:r w:rsidRPr="003D3F4E">
        <w:rPr>
          <w:rFonts w:ascii="Arial" w:hAnsi="Arial" w:cs="Arial"/>
          <w:sz w:val="22"/>
          <w:szCs w:val="22"/>
        </w:rPr>
        <w:t>the Malawi Department of Economic Planning and Development (EP&amp;D) developed and started using a macroeconomic simulation model</w:t>
      </w:r>
      <w:r w:rsidR="000F15FF" w:rsidRPr="003D3F4E">
        <w:rPr>
          <w:rFonts w:ascii="Arial" w:hAnsi="Arial" w:cs="Arial"/>
          <w:sz w:val="22"/>
          <w:szCs w:val="22"/>
        </w:rPr>
        <w:t xml:space="preserve"> which is </w:t>
      </w:r>
      <w:r w:rsidRPr="003D3F4E">
        <w:rPr>
          <w:rFonts w:ascii="Arial" w:hAnsi="Arial" w:cs="Arial"/>
          <w:sz w:val="22"/>
          <w:szCs w:val="22"/>
        </w:rPr>
        <w:t>structure</w:t>
      </w:r>
      <w:r w:rsidR="000F15FF" w:rsidRPr="003D3F4E">
        <w:rPr>
          <w:rFonts w:ascii="Arial" w:hAnsi="Arial" w:cs="Arial"/>
          <w:sz w:val="22"/>
          <w:szCs w:val="22"/>
        </w:rPr>
        <w:t>d to</w:t>
      </w:r>
      <w:r w:rsidRPr="003D3F4E">
        <w:rPr>
          <w:rFonts w:ascii="Arial" w:hAnsi="Arial" w:cs="Arial"/>
          <w:sz w:val="22"/>
          <w:szCs w:val="22"/>
        </w:rPr>
        <w:t xml:space="preserve"> reflect the realities of Malawi’s economy. When the team began using it to support national strategies and fiscal planning, it made a noticeable difference. The analysts could compare alternative policy choices using national data and see how changes in, for example, export prices or wages influence growth or government revenues. This helped make policy discussions more grounded and created a clearer link between statistical evidence and decision-making. </w:t>
      </w:r>
      <w:r w:rsidR="00BA6645" w:rsidRPr="003D3F4E">
        <w:rPr>
          <w:rFonts w:ascii="Arial" w:hAnsi="Arial" w:cs="Arial"/>
          <w:sz w:val="22"/>
          <w:szCs w:val="22"/>
        </w:rPr>
        <w:t>T</w:t>
      </w:r>
      <w:r w:rsidRPr="003D3F4E">
        <w:rPr>
          <w:rFonts w:ascii="Arial" w:hAnsi="Arial" w:cs="Arial"/>
          <w:sz w:val="22"/>
          <w:szCs w:val="22"/>
        </w:rPr>
        <w:t xml:space="preserve">he model also increased the demand for better and more timely statistics. As analysts run simulations, they quickly see where missing or outdated data limit the model’s accuracy, such as gaps in national accounts, </w:t>
      </w:r>
      <w:proofErr w:type="spellStart"/>
      <w:r w:rsidRPr="003D3F4E">
        <w:rPr>
          <w:rFonts w:ascii="Arial" w:hAnsi="Arial" w:cs="Arial"/>
          <w:sz w:val="22"/>
          <w:szCs w:val="22"/>
        </w:rPr>
        <w:t>labour</w:t>
      </w:r>
      <w:proofErr w:type="spellEnd"/>
      <w:r w:rsidRPr="003D3F4E">
        <w:rPr>
          <w:rFonts w:ascii="Arial" w:hAnsi="Arial" w:cs="Arial"/>
          <w:sz w:val="22"/>
          <w:szCs w:val="22"/>
        </w:rPr>
        <w:t xml:space="preserve"> statistics, or trade data. This has made ministries more aware of the value of good statistics and strengthened the case for improving data access and investing in regular, high-quality production. In this way, feedback from use of the model does more than support analysis: it helps create a culture where statistics are seen as necessary tools for understanding the economy and shaping national priorities. </w:t>
      </w:r>
    </w:p>
    <w:sectPr w:rsidR="000A1800" w:rsidRPr="001C6157" w:rsidSect="00E60963">
      <w:headerReference w:type="even" r:id="rId24"/>
      <w:headerReference w:type="default" r:id="rId25"/>
      <w:footerReference w:type="even" r:id="rId26"/>
      <w:footerReference w:type="default" r:id="rId27"/>
      <w:headerReference w:type="first" r:id="rId28"/>
      <w:footerReference w:type="first" r:id="rId29"/>
      <w:pgSz w:w="12240" w:h="15840"/>
      <w:pgMar w:top="1440" w:right="90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BCAA9" w14:textId="77777777" w:rsidR="00520EAC" w:rsidRDefault="00520EAC" w:rsidP="007C797A">
      <w:pPr>
        <w:spacing w:line="240" w:lineRule="auto"/>
      </w:pPr>
      <w:r>
        <w:separator/>
      </w:r>
    </w:p>
  </w:endnote>
  <w:endnote w:type="continuationSeparator" w:id="0">
    <w:p w14:paraId="563CB0E1" w14:textId="77777777" w:rsidR="00520EAC" w:rsidRDefault="00520EAC" w:rsidP="007C79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Aptos"/>
    <w:charset w:val="00"/>
    <w:family w:val="swiss"/>
    <w:pitch w:val="variable"/>
    <w:sig w:usb0="20000287" w:usb1="00000003" w:usb2="00000000" w:usb3="00000000" w:csb0="0000019F" w:csb1="00000000"/>
    <w:embedRegular r:id="rId1" w:fontKey="{8800B87C-B2FB-43FC-972C-8CA3AC5AFB3F}"/>
  </w:font>
  <w:font w:name="Calibri">
    <w:panose1 w:val="020F0502020204030204"/>
    <w:charset w:val="00"/>
    <w:family w:val="swiss"/>
    <w:pitch w:val="variable"/>
    <w:sig w:usb0="E4002EFF" w:usb1="C200247B" w:usb2="00000009" w:usb3="00000000" w:csb0="000001FF" w:csb1="00000000"/>
    <w:embedRegular r:id="rId2" w:fontKey="{D0FD6FCC-F066-4DB7-B036-432C4F3AA6BA}"/>
    <w:embedBold r:id="rId3" w:fontKey="{CBEA52CB-A7F2-413F-8646-479EA1735A4D}"/>
  </w:font>
  <w:font w:name="Cambria Math">
    <w:panose1 w:val="02040503050406030204"/>
    <w:charset w:val="00"/>
    <w:family w:val="roman"/>
    <w:pitch w:val="variable"/>
    <w:sig w:usb0="E00006FF" w:usb1="420024FF" w:usb2="02000000" w:usb3="00000000" w:csb0="0000019F" w:csb1="00000000"/>
    <w:embedRegular r:id="rId4" w:fontKey="{E67463A3-F733-497C-BD45-8E358556978C}"/>
  </w:font>
  <w:font w:name="Cambria">
    <w:panose1 w:val="02040503050406030204"/>
    <w:charset w:val="00"/>
    <w:family w:val="roman"/>
    <w:pitch w:val="variable"/>
    <w:sig w:usb0="E00006FF" w:usb1="420024FF" w:usb2="02000000" w:usb3="00000000" w:csb0="0000019F" w:csb1="00000000"/>
    <w:embedRegular r:id="rId5" w:fontKey="{4BA77DE2-D907-47FA-980E-4F3081351F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87AE5" w14:textId="43F6A205" w:rsidR="007C797A" w:rsidRDefault="007C797A">
    <w:pPr>
      <w:pStyle w:val="Footer"/>
    </w:pPr>
    <w:r>
      <w:rPr>
        <w:noProof/>
      </w:rPr>
      <mc:AlternateContent>
        <mc:Choice Requires="wps">
          <w:drawing>
            <wp:anchor distT="0" distB="0" distL="0" distR="0" simplePos="0" relativeHeight="251662336" behindDoc="0" locked="0" layoutInCell="1" allowOverlap="1" wp14:anchorId="67B27FCB" wp14:editId="5E27D5F0">
              <wp:simplePos x="635" y="635"/>
              <wp:positionH relativeFrom="page">
                <wp:align>center</wp:align>
              </wp:positionH>
              <wp:positionV relativeFrom="page">
                <wp:align>bottom</wp:align>
              </wp:positionV>
              <wp:extent cx="518795" cy="368935"/>
              <wp:effectExtent l="0" t="0" r="14605" b="0"/>
              <wp:wrapNone/>
              <wp:docPr id="159599711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10C77EBC" w14:textId="50559CA1"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B27FCB" id="_x0000_t202" coordsize="21600,21600" o:spt="202" path="m,l,21600r21600,l21600,xe">
              <v:stroke joinstyle="miter"/>
              <v:path gradientshapeok="t" o:connecttype="rect"/>
            </v:shapetype>
            <v:shape id="Text Box 5" o:spid="_x0000_s1031" type="#_x0000_t202" alt="OFFICIAL" style="position:absolute;margin-left:0;margin-top:0;width:40.85pt;height:29.0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" filled="f" stroked="f">
              <v:textbox style="mso-fit-shape-to-text:t" inset="0,0,0,15pt">
                <w:txbxContent>
                  <w:p w14:paraId="10C77EBC" w14:textId="50559CA1"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61CA7" w14:textId="5F7298A4" w:rsidR="007C797A" w:rsidRDefault="00EF232A" w:rsidP="00EF232A">
    <w:pPr>
      <w:pStyle w:val="Footer"/>
      <w:jc w:val="right"/>
    </w:pPr>
    <w:r w:rsidRPr="00EF232A">
      <w:rPr>
        <w:noProof/>
      </w:rPr>
      <w:drawing>
        <wp:anchor distT="0" distB="0" distL="114300" distR="114300" simplePos="0" relativeHeight="251664384" behindDoc="0" locked="0" layoutInCell="1" allowOverlap="1" wp14:anchorId="4A56B381" wp14:editId="761CDA4B">
          <wp:simplePos x="0" y="0"/>
          <wp:positionH relativeFrom="column">
            <wp:posOffset>4609465</wp:posOffset>
          </wp:positionH>
          <wp:positionV relativeFrom="paragraph">
            <wp:posOffset>-172720</wp:posOffset>
          </wp:positionV>
          <wp:extent cx="1993900" cy="514350"/>
          <wp:effectExtent l="0" t="0" r="6350" b="0"/>
          <wp:wrapSquare wrapText="bothSides"/>
          <wp:docPr id="196244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774959" name=""/>
                  <pic:cNvPicPr/>
                </pic:nvPicPr>
                <pic:blipFill>
                  <a:blip r:embed="rId1">
                    <a:extLst>
                      <a:ext uri="{28A0092B-C50C-407E-A947-70E740481C1C}">
                        <a14:useLocalDpi xmlns:a14="http://schemas.microsoft.com/office/drawing/2010/main" val="0"/>
                      </a:ext>
                    </a:extLst>
                  </a:blip>
                  <a:stretch>
                    <a:fillRect/>
                  </a:stretch>
                </pic:blipFill>
                <pic:spPr>
                  <a:xfrm>
                    <a:off x="0" y="0"/>
                    <a:ext cx="1993900" cy="514350"/>
                  </a:xfrm>
                  <a:prstGeom prst="rect">
                    <a:avLst/>
                  </a:prstGeom>
                </pic:spPr>
              </pic:pic>
            </a:graphicData>
          </a:graphic>
          <wp14:sizeRelH relativeFrom="margin">
            <wp14:pctWidth>0</wp14:pctWidth>
          </wp14:sizeRelH>
          <wp14:sizeRelV relativeFrom="margin">
            <wp14:pctHeight>0</wp14:pctHeight>
          </wp14:sizeRelV>
        </wp:anchor>
      </w:drawing>
    </w:r>
    <w:r w:rsidR="007C797A">
      <w:rPr>
        <w:noProof/>
      </w:rPr>
      <mc:AlternateContent>
        <mc:Choice Requires="wps">
          <w:drawing>
            <wp:anchor distT="0" distB="0" distL="0" distR="0" simplePos="0" relativeHeight="251663360" behindDoc="0" locked="0" layoutInCell="1" allowOverlap="1" wp14:anchorId="34279CCF" wp14:editId="50C80B7A">
              <wp:simplePos x="914400" y="9439275"/>
              <wp:positionH relativeFrom="page">
                <wp:align>center</wp:align>
              </wp:positionH>
              <wp:positionV relativeFrom="page">
                <wp:align>bottom</wp:align>
              </wp:positionV>
              <wp:extent cx="518795" cy="368935"/>
              <wp:effectExtent l="0" t="0" r="14605" b="0"/>
              <wp:wrapNone/>
              <wp:docPr id="200887302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443D233E" w14:textId="787DD37E"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279CCF" id="_x0000_t202" coordsize="21600,21600" o:spt="202" path="m,l,21600r21600,l21600,xe">
              <v:stroke joinstyle="miter"/>
              <v:path gradientshapeok="t" o:connecttype="rect"/>
            </v:shapetype>
            <v:shape id="Text Box 6" o:spid="_x0000_s1032" type="#_x0000_t202" alt="OFFICIAL" style="position:absolute;left:0;text-align:left;margin-left:0;margin-top:0;width:40.85pt;height:29.0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" filled="f" stroked="f">
              <v:textbox style="mso-fit-shape-to-text:t" inset="0,0,0,15pt">
                <w:txbxContent>
                  <w:p w14:paraId="443D233E" w14:textId="787DD37E"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39ED6" w14:textId="24BEE2F4" w:rsidR="007C797A" w:rsidRDefault="007C797A">
    <w:pPr>
      <w:pStyle w:val="Footer"/>
    </w:pPr>
    <w:r>
      <w:rPr>
        <w:noProof/>
      </w:rPr>
      <mc:AlternateContent>
        <mc:Choice Requires="wps">
          <w:drawing>
            <wp:anchor distT="0" distB="0" distL="0" distR="0" simplePos="0" relativeHeight="251661312" behindDoc="0" locked="0" layoutInCell="1" allowOverlap="1" wp14:anchorId="4A155FEA" wp14:editId="15A245E6">
              <wp:simplePos x="635" y="635"/>
              <wp:positionH relativeFrom="page">
                <wp:align>center</wp:align>
              </wp:positionH>
              <wp:positionV relativeFrom="page">
                <wp:align>bottom</wp:align>
              </wp:positionV>
              <wp:extent cx="518795" cy="368935"/>
              <wp:effectExtent l="0" t="0" r="14605" b="0"/>
              <wp:wrapNone/>
              <wp:docPr id="30805031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4401070D" w14:textId="7678680B"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155FEA" id="_x0000_t202" coordsize="21600,21600" o:spt="202" path="m,l,21600r21600,l21600,xe">
              <v:stroke joinstyle="miter"/>
              <v:path gradientshapeok="t" o:connecttype="rect"/>
            </v:shapetype>
            <v:shape id="Text Box 4" o:spid="_x0000_s1034" type="#_x0000_t202" alt="OFFICIAL" style="position:absolute;margin-left:0;margin-top:0;width:40.85pt;height:29.0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" filled="f" stroked="f">
              <v:textbox style="mso-fit-shape-to-text:t" inset="0,0,0,15pt">
                <w:txbxContent>
                  <w:p w14:paraId="4401070D" w14:textId="7678680B"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C247E" w14:textId="77777777" w:rsidR="00520EAC" w:rsidRDefault="00520EAC" w:rsidP="007C797A">
      <w:pPr>
        <w:spacing w:line="240" w:lineRule="auto"/>
      </w:pPr>
      <w:r>
        <w:separator/>
      </w:r>
    </w:p>
  </w:footnote>
  <w:footnote w:type="continuationSeparator" w:id="0">
    <w:p w14:paraId="4F554D67" w14:textId="77777777" w:rsidR="00520EAC" w:rsidRDefault="00520EAC" w:rsidP="007C797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92035" w14:textId="4EAAB9C7" w:rsidR="007C797A" w:rsidRDefault="007C797A">
    <w:pPr>
      <w:pStyle w:val="Header"/>
    </w:pPr>
    <w:r>
      <w:rPr>
        <w:noProof/>
      </w:rPr>
      <mc:AlternateContent>
        <mc:Choice Requires="wps">
          <w:drawing>
            <wp:anchor distT="0" distB="0" distL="0" distR="0" simplePos="0" relativeHeight="251659264" behindDoc="0" locked="0" layoutInCell="1" allowOverlap="1" wp14:anchorId="06A5D453" wp14:editId="443A7A3E">
              <wp:simplePos x="635" y="635"/>
              <wp:positionH relativeFrom="page">
                <wp:align>center</wp:align>
              </wp:positionH>
              <wp:positionV relativeFrom="page">
                <wp:align>top</wp:align>
              </wp:positionV>
              <wp:extent cx="518795" cy="368935"/>
              <wp:effectExtent l="0" t="0" r="14605" b="12065"/>
              <wp:wrapNone/>
              <wp:docPr id="76516419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02599E98" w14:textId="4325ED6F"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A5D453" id="_x0000_t202" coordsize="21600,21600" o:spt="202" path="m,l,21600r21600,l21600,xe">
              <v:stroke joinstyle="miter"/>
              <v:path gradientshapeok="t" o:connecttype="rect"/>
            </v:shapetype>
            <v:shape id="Text Box 2" o:spid="_x0000_s1029" type="#_x0000_t202" alt="OFFICIAL" style="position:absolute;margin-left:0;margin-top:0;width:40.85pt;height:29.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" filled="f" stroked="f">
              <v:textbox style="mso-fit-shape-to-text:t" inset="0,15pt,0,0">
                <w:txbxContent>
                  <w:p w14:paraId="02599E98" w14:textId="4325ED6F"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ED010" w14:textId="002EB750" w:rsidR="007C797A" w:rsidRDefault="007C797A">
    <w:pPr>
      <w:pStyle w:val="Header"/>
    </w:pPr>
    <w:r>
      <w:rPr>
        <w:noProof/>
      </w:rPr>
      <mc:AlternateContent>
        <mc:Choice Requires="wps">
          <w:drawing>
            <wp:anchor distT="0" distB="0" distL="0" distR="0" simplePos="0" relativeHeight="251660288" behindDoc="0" locked="0" layoutInCell="1" allowOverlap="1" wp14:anchorId="1B3B3402" wp14:editId="4C239EAF">
              <wp:simplePos x="914400" y="457200"/>
              <wp:positionH relativeFrom="page">
                <wp:align>center</wp:align>
              </wp:positionH>
              <wp:positionV relativeFrom="page">
                <wp:align>top</wp:align>
              </wp:positionV>
              <wp:extent cx="518795" cy="368935"/>
              <wp:effectExtent l="0" t="0" r="14605" b="12065"/>
              <wp:wrapNone/>
              <wp:docPr id="193671884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69EE3360" w14:textId="7235DC10"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3B3402" id="_x0000_t202" coordsize="21600,21600" o:spt="202" path="m,l,21600r21600,l21600,xe">
              <v:stroke joinstyle="miter"/>
              <v:path gradientshapeok="t" o:connecttype="rect"/>
            </v:shapetype>
            <v:shape id="Text Box 3" o:spid="_x0000_s1030" type="#_x0000_t202" alt="OFFICIAL" style="position:absolute;margin-left:0;margin-top:0;width:40.85pt;height:29.0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" filled="f" stroked="f">
              <v:textbox style="mso-fit-shape-to-text:t" inset="0,15pt,0,0">
                <w:txbxContent>
                  <w:p w14:paraId="69EE3360" w14:textId="7235DC10"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E6CAA" w14:textId="2F9BD9F7" w:rsidR="007C797A" w:rsidRDefault="007C797A">
    <w:pPr>
      <w:pStyle w:val="Header"/>
    </w:pPr>
    <w:r>
      <w:rPr>
        <w:noProof/>
      </w:rPr>
      <mc:AlternateContent>
        <mc:Choice Requires="wps">
          <w:drawing>
            <wp:anchor distT="0" distB="0" distL="0" distR="0" simplePos="0" relativeHeight="251658240" behindDoc="0" locked="0" layoutInCell="1" allowOverlap="1" wp14:anchorId="09059534" wp14:editId="28DD55CB">
              <wp:simplePos x="635" y="635"/>
              <wp:positionH relativeFrom="page">
                <wp:align>center</wp:align>
              </wp:positionH>
              <wp:positionV relativeFrom="page">
                <wp:align>top</wp:align>
              </wp:positionV>
              <wp:extent cx="518795" cy="368935"/>
              <wp:effectExtent l="0" t="0" r="14605" b="12065"/>
              <wp:wrapNone/>
              <wp:docPr id="135350476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68935"/>
                      </a:xfrm>
                      <a:prstGeom prst="rect">
                        <a:avLst/>
                      </a:prstGeom>
                      <a:noFill/>
                      <a:ln>
                        <a:noFill/>
                      </a:ln>
                    </wps:spPr>
                    <wps:txbx>
                      <w:txbxContent>
                        <w:p w14:paraId="7046F8F7" w14:textId="6DCA0D3F"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059534" id="_x0000_t202" coordsize="21600,21600" o:spt="202" path="m,l,21600r21600,l21600,xe">
              <v:stroke joinstyle="miter"/>
              <v:path gradientshapeok="t" o:connecttype="rect"/>
            </v:shapetype>
            <v:shape id="Text Box 1" o:spid="_x0000_s1033" type="#_x0000_t202" alt="OFFICIAL" style="position:absolute;margin-left:0;margin-top:0;width:40.85pt;height:29.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" filled="f" stroked="f">
              <v:textbox style="mso-fit-shape-to-text:t" inset="0,15pt,0,0">
                <w:txbxContent>
                  <w:p w14:paraId="7046F8F7" w14:textId="6DCA0D3F" w:rsidR="007C797A" w:rsidRPr="007C797A" w:rsidRDefault="007C797A" w:rsidP="007C797A">
                    <w:pPr>
                      <w:rPr>
                        <w:rFonts w:ascii="Aptos" w:eastAsia="Aptos" w:hAnsi="Aptos" w:cs="Aptos"/>
                        <w:noProof/>
                        <w:color w:val="000000"/>
                        <w:sz w:val="20"/>
                        <w:szCs w:val="20"/>
                      </w:rPr>
                    </w:pPr>
                    <w:r w:rsidRPr="007C797A">
                      <w:rPr>
                        <w:rFonts w:ascii="Aptos" w:eastAsia="Aptos" w:hAnsi="Aptos" w:cs="Aptos"/>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1FAB"/>
    <w:multiLevelType w:val="multilevel"/>
    <w:tmpl w:val="345E6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9370AEC"/>
    <w:multiLevelType w:val="multilevel"/>
    <w:tmpl w:val="5600C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F84E5A"/>
    <w:multiLevelType w:val="multilevel"/>
    <w:tmpl w:val="32FA2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B361EE"/>
    <w:multiLevelType w:val="multilevel"/>
    <w:tmpl w:val="8634122A"/>
    <w:lvl w:ilvl="0">
      <w:start w:val="1"/>
      <w:numFmt w:val="bullet"/>
      <w:lvlText w:val="●"/>
      <w:lvlJc w:val="left"/>
      <w:pPr>
        <w:ind w:left="4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2D1D63"/>
    <w:multiLevelType w:val="multilevel"/>
    <w:tmpl w:val="2FD2DA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4DD69AC"/>
    <w:multiLevelType w:val="hybridMultilevel"/>
    <w:tmpl w:val="ED4E84C6"/>
    <w:lvl w:ilvl="0" w:tplc="5EF0A78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C012C1"/>
    <w:multiLevelType w:val="hybridMultilevel"/>
    <w:tmpl w:val="4A062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D1000D"/>
    <w:multiLevelType w:val="multilevel"/>
    <w:tmpl w:val="21620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3343A4"/>
    <w:multiLevelType w:val="hybridMultilevel"/>
    <w:tmpl w:val="78E2EE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0A5EFF"/>
    <w:multiLevelType w:val="hybridMultilevel"/>
    <w:tmpl w:val="7DB86266"/>
    <w:lvl w:ilvl="0" w:tplc="DCEA7A7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71245054"/>
    <w:multiLevelType w:val="hybridMultilevel"/>
    <w:tmpl w:val="0A92FFE6"/>
    <w:lvl w:ilvl="0" w:tplc="A8DA4122">
      <w:start w:val="1"/>
      <w:numFmt w:val="decimal"/>
      <w:lvlText w:val="%1."/>
      <w:lvlJc w:val="left"/>
      <w:pPr>
        <w:ind w:left="816" w:hanging="456"/>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676C3A"/>
    <w:multiLevelType w:val="hybridMultilevel"/>
    <w:tmpl w:val="5DB0A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AF387C"/>
    <w:multiLevelType w:val="multilevel"/>
    <w:tmpl w:val="616AABEA"/>
    <w:lvl w:ilvl="0">
      <w:start w:val="1"/>
      <w:numFmt w:val="bullet"/>
      <w:lvlText w:val="●"/>
      <w:lvlJc w:val="left"/>
      <w:pPr>
        <w:ind w:left="648" w:hanging="360"/>
      </w:pPr>
      <w:rPr>
        <w:u w:val="none"/>
      </w:rPr>
    </w:lvl>
    <w:lvl w:ilvl="1">
      <w:start w:val="1"/>
      <w:numFmt w:val="bullet"/>
      <w:lvlText w:val="o"/>
      <w:lvlJc w:val="left"/>
      <w:pPr>
        <w:ind w:left="1368" w:hanging="359"/>
      </w:pPr>
      <w:rPr>
        <w:u w:val="none"/>
      </w:rPr>
    </w:lvl>
    <w:lvl w:ilvl="2">
      <w:start w:val="1"/>
      <w:numFmt w:val="bullet"/>
      <w:lvlText w:val="▪"/>
      <w:lvlJc w:val="left"/>
      <w:pPr>
        <w:ind w:left="2088" w:hanging="360"/>
      </w:pPr>
      <w:rPr>
        <w:u w:val="none"/>
      </w:rPr>
    </w:lvl>
    <w:lvl w:ilvl="3">
      <w:start w:val="1"/>
      <w:numFmt w:val="bullet"/>
      <w:lvlText w:val="●"/>
      <w:lvlJc w:val="left"/>
      <w:pPr>
        <w:ind w:left="2808" w:hanging="360"/>
      </w:pPr>
      <w:rPr>
        <w:u w:val="none"/>
      </w:rPr>
    </w:lvl>
    <w:lvl w:ilvl="4">
      <w:start w:val="1"/>
      <w:numFmt w:val="bullet"/>
      <w:lvlText w:val="o"/>
      <w:lvlJc w:val="left"/>
      <w:pPr>
        <w:ind w:left="3528" w:hanging="360"/>
      </w:pPr>
      <w:rPr>
        <w:u w:val="none"/>
      </w:rPr>
    </w:lvl>
    <w:lvl w:ilvl="5">
      <w:start w:val="1"/>
      <w:numFmt w:val="bullet"/>
      <w:lvlText w:val="▪"/>
      <w:lvlJc w:val="left"/>
      <w:pPr>
        <w:ind w:left="4248" w:hanging="360"/>
      </w:pPr>
      <w:rPr>
        <w:u w:val="none"/>
      </w:rPr>
    </w:lvl>
    <w:lvl w:ilvl="6">
      <w:start w:val="1"/>
      <w:numFmt w:val="bullet"/>
      <w:lvlText w:val="●"/>
      <w:lvlJc w:val="left"/>
      <w:pPr>
        <w:ind w:left="4968" w:hanging="360"/>
      </w:pPr>
      <w:rPr>
        <w:u w:val="none"/>
      </w:rPr>
    </w:lvl>
    <w:lvl w:ilvl="7">
      <w:start w:val="1"/>
      <w:numFmt w:val="bullet"/>
      <w:lvlText w:val="o"/>
      <w:lvlJc w:val="left"/>
      <w:pPr>
        <w:ind w:left="5688" w:hanging="360"/>
      </w:pPr>
      <w:rPr>
        <w:u w:val="none"/>
      </w:rPr>
    </w:lvl>
    <w:lvl w:ilvl="8">
      <w:start w:val="1"/>
      <w:numFmt w:val="bullet"/>
      <w:lvlText w:val="▪"/>
      <w:lvlJc w:val="left"/>
      <w:pPr>
        <w:ind w:left="6408" w:hanging="360"/>
      </w:pPr>
      <w:rPr>
        <w:u w:val="none"/>
      </w:rPr>
    </w:lvl>
  </w:abstractNum>
  <w:abstractNum w:abstractNumId="13" w15:restartNumberingAfterBreak="0">
    <w:nsid w:val="7B24606F"/>
    <w:multiLevelType w:val="multilevel"/>
    <w:tmpl w:val="AC26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3296414">
    <w:abstractNumId w:val="3"/>
  </w:num>
  <w:num w:numId="2" w16cid:durableId="1586767341">
    <w:abstractNumId w:val="0"/>
  </w:num>
  <w:num w:numId="3" w16cid:durableId="1967661613">
    <w:abstractNumId w:val="2"/>
  </w:num>
  <w:num w:numId="4" w16cid:durableId="1076435986">
    <w:abstractNumId w:val="1"/>
  </w:num>
  <w:num w:numId="5" w16cid:durableId="665519576">
    <w:abstractNumId w:val="4"/>
  </w:num>
  <w:num w:numId="6" w16cid:durableId="1822768195">
    <w:abstractNumId w:val="12"/>
  </w:num>
  <w:num w:numId="7" w16cid:durableId="1181973786">
    <w:abstractNumId w:val="13"/>
  </w:num>
  <w:num w:numId="8" w16cid:durableId="990212811">
    <w:abstractNumId w:val="7"/>
  </w:num>
  <w:num w:numId="9" w16cid:durableId="1725517971">
    <w:abstractNumId w:val="10"/>
  </w:num>
  <w:num w:numId="10" w16cid:durableId="1828280251">
    <w:abstractNumId w:val="9"/>
  </w:num>
  <w:num w:numId="11" w16cid:durableId="1305508572">
    <w:abstractNumId w:val="11"/>
  </w:num>
  <w:num w:numId="12" w16cid:durableId="1616013036">
    <w:abstractNumId w:val="5"/>
  </w:num>
  <w:num w:numId="13" w16cid:durableId="333580683">
    <w:abstractNumId w:val="8"/>
  </w:num>
  <w:num w:numId="14" w16cid:durableId="2944134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CC8"/>
    <w:rsid w:val="00002F1A"/>
    <w:rsid w:val="00015DDA"/>
    <w:rsid w:val="000448AE"/>
    <w:rsid w:val="000547FC"/>
    <w:rsid w:val="00063390"/>
    <w:rsid w:val="000A1800"/>
    <w:rsid w:val="000A3FBF"/>
    <w:rsid w:val="000C44DC"/>
    <w:rsid w:val="000F15FF"/>
    <w:rsid w:val="00100CFC"/>
    <w:rsid w:val="001118EA"/>
    <w:rsid w:val="0012231F"/>
    <w:rsid w:val="00165EED"/>
    <w:rsid w:val="00172AEF"/>
    <w:rsid w:val="0018062B"/>
    <w:rsid w:val="001C6157"/>
    <w:rsid w:val="00226998"/>
    <w:rsid w:val="002365A0"/>
    <w:rsid w:val="002635BB"/>
    <w:rsid w:val="002A725A"/>
    <w:rsid w:val="002E6D0C"/>
    <w:rsid w:val="002F1234"/>
    <w:rsid w:val="002F4CFB"/>
    <w:rsid w:val="003325C2"/>
    <w:rsid w:val="00346FE5"/>
    <w:rsid w:val="00350A74"/>
    <w:rsid w:val="00362DAB"/>
    <w:rsid w:val="003B5183"/>
    <w:rsid w:val="003C043E"/>
    <w:rsid w:val="003D3F4E"/>
    <w:rsid w:val="00433B07"/>
    <w:rsid w:val="00451ADE"/>
    <w:rsid w:val="00456BAF"/>
    <w:rsid w:val="004669B2"/>
    <w:rsid w:val="00470B78"/>
    <w:rsid w:val="004B7DAB"/>
    <w:rsid w:val="004D2FEF"/>
    <w:rsid w:val="0050118A"/>
    <w:rsid w:val="0051157A"/>
    <w:rsid w:val="00515AC3"/>
    <w:rsid w:val="00520EAC"/>
    <w:rsid w:val="00534AE0"/>
    <w:rsid w:val="005657DA"/>
    <w:rsid w:val="005D57CA"/>
    <w:rsid w:val="006269A2"/>
    <w:rsid w:val="00641EB7"/>
    <w:rsid w:val="00642C4C"/>
    <w:rsid w:val="006547F0"/>
    <w:rsid w:val="006817E9"/>
    <w:rsid w:val="006A68A8"/>
    <w:rsid w:val="006C0371"/>
    <w:rsid w:val="006C212E"/>
    <w:rsid w:val="006C2328"/>
    <w:rsid w:val="006C3E58"/>
    <w:rsid w:val="006F683C"/>
    <w:rsid w:val="00706846"/>
    <w:rsid w:val="0071143D"/>
    <w:rsid w:val="00726CD1"/>
    <w:rsid w:val="00730699"/>
    <w:rsid w:val="007374AD"/>
    <w:rsid w:val="00745469"/>
    <w:rsid w:val="00754031"/>
    <w:rsid w:val="007A2BA2"/>
    <w:rsid w:val="007A3B8A"/>
    <w:rsid w:val="007B3224"/>
    <w:rsid w:val="007C1D44"/>
    <w:rsid w:val="007C797A"/>
    <w:rsid w:val="007D6B60"/>
    <w:rsid w:val="008332B8"/>
    <w:rsid w:val="008353FD"/>
    <w:rsid w:val="00885619"/>
    <w:rsid w:val="008A3E99"/>
    <w:rsid w:val="008E6B79"/>
    <w:rsid w:val="00901CC9"/>
    <w:rsid w:val="00930957"/>
    <w:rsid w:val="00937452"/>
    <w:rsid w:val="009460CD"/>
    <w:rsid w:val="009A32E7"/>
    <w:rsid w:val="009B52B4"/>
    <w:rsid w:val="009D3EEE"/>
    <w:rsid w:val="00A846E5"/>
    <w:rsid w:val="00A87632"/>
    <w:rsid w:val="00A9201B"/>
    <w:rsid w:val="00A971B6"/>
    <w:rsid w:val="00AB7C86"/>
    <w:rsid w:val="00AF59BD"/>
    <w:rsid w:val="00B429B5"/>
    <w:rsid w:val="00B646C7"/>
    <w:rsid w:val="00B72683"/>
    <w:rsid w:val="00B81EE5"/>
    <w:rsid w:val="00B94DDC"/>
    <w:rsid w:val="00BA6645"/>
    <w:rsid w:val="00BB0D2E"/>
    <w:rsid w:val="00BB33D8"/>
    <w:rsid w:val="00C348B0"/>
    <w:rsid w:val="00C4390A"/>
    <w:rsid w:val="00C5162C"/>
    <w:rsid w:val="00C63209"/>
    <w:rsid w:val="00C70294"/>
    <w:rsid w:val="00C766E6"/>
    <w:rsid w:val="00C7780E"/>
    <w:rsid w:val="00C80B8C"/>
    <w:rsid w:val="00C83EDF"/>
    <w:rsid w:val="00C8473E"/>
    <w:rsid w:val="00C90075"/>
    <w:rsid w:val="00CD027B"/>
    <w:rsid w:val="00CF21B3"/>
    <w:rsid w:val="00D207E7"/>
    <w:rsid w:val="00D344E2"/>
    <w:rsid w:val="00D363EA"/>
    <w:rsid w:val="00D63F93"/>
    <w:rsid w:val="00D662A1"/>
    <w:rsid w:val="00D73373"/>
    <w:rsid w:val="00DA015B"/>
    <w:rsid w:val="00DB2CC8"/>
    <w:rsid w:val="00DC4FEE"/>
    <w:rsid w:val="00DD71EF"/>
    <w:rsid w:val="00DF5A39"/>
    <w:rsid w:val="00DF7CC8"/>
    <w:rsid w:val="00E10303"/>
    <w:rsid w:val="00E273B6"/>
    <w:rsid w:val="00E37524"/>
    <w:rsid w:val="00E46E15"/>
    <w:rsid w:val="00E54976"/>
    <w:rsid w:val="00E60963"/>
    <w:rsid w:val="00E93CB2"/>
    <w:rsid w:val="00EB77B5"/>
    <w:rsid w:val="00EC67CD"/>
    <w:rsid w:val="00ED1B05"/>
    <w:rsid w:val="00EE2C41"/>
    <w:rsid w:val="00EE41DA"/>
    <w:rsid w:val="00EE60B5"/>
    <w:rsid w:val="00EF232A"/>
    <w:rsid w:val="00F16E27"/>
    <w:rsid w:val="00F37E0F"/>
    <w:rsid w:val="00F50AA9"/>
    <w:rsid w:val="00F60071"/>
    <w:rsid w:val="00F82433"/>
    <w:rsid w:val="00F855CD"/>
    <w:rsid w:val="00FA10FE"/>
    <w:rsid w:val="00FA71A5"/>
    <w:rsid w:val="00FB349F"/>
    <w:rsid w:val="00FC0DA1"/>
    <w:rsid w:val="00FE24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87A358"/>
  <w15:docId w15:val="{0593D207-1DD6-4C1D-8823-90F5E6BB7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7C797A"/>
    <w:pPr>
      <w:tabs>
        <w:tab w:val="center" w:pos="4513"/>
        <w:tab w:val="right" w:pos="9026"/>
      </w:tabs>
      <w:spacing w:line="240" w:lineRule="auto"/>
    </w:pPr>
  </w:style>
  <w:style w:type="character" w:customStyle="1" w:styleId="HeaderChar">
    <w:name w:val="Header Char"/>
    <w:basedOn w:val="DefaultParagraphFont"/>
    <w:link w:val="Header"/>
    <w:uiPriority w:val="99"/>
    <w:rsid w:val="007C797A"/>
  </w:style>
  <w:style w:type="paragraph" w:styleId="Footer">
    <w:name w:val="footer"/>
    <w:basedOn w:val="Normal"/>
    <w:link w:val="FooterChar"/>
    <w:uiPriority w:val="99"/>
    <w:unhideWhenUsed/>
    <w:rsid w:val="007C797A"/>
    <w:pPr>
      <w:tabs>
        <w:tab w:val="center" w:pos="4513"/>
        <w:tab w:val="right" w:pos="9026"/>
      </w:tabs>
      <w:spacing w:line="240" w:lineRule="auto"/>
    </w:pPr>
  </w:style>
  <w:style w:type="character" w:customStyle="1" w:styleId="FooterChar">
    <w:name w:val="Footer Char"/>
    <w:basedOn w:val="DefaultParagraphFont"/>
    <w:link w:val="Footer"/>
    <w:uiPriority w:val="99"/>
    <w:rsid w:val="007C797A"/>
  </w:style>
  <w:style w:type="paragraph" w:styleId="CommentSubject">
    <w:name w:val="annotation subject"/>
    <w:basedOn w:val="CommentText"/>
    <w:next w:val="CommentText"/>
    <w:link w:val="CommentSubjectChar"/>
    <w:uiPriority w:val="99"/>
    <w:semiHidden/>
    <w:unhideWhenUsed/>
    <w:rsid w:val="007C797A"/>
    <w:rPr>
      <w:b/>
      <w:bCs/>
    </w:rPr>
  </w:style>
  <w:style w:type="character" w:customStyle="1" w:styleId="CommentSubjectChar">
    <w:name w:val="Comment Subject Char"/>
    <w:basedOn w:val="CommentTextChar"/>
    <w:link w:val="CommentSubject"/>
    <w:uiPriority w:val="99"/>
    <w:semiHidden/>
    <w:rsid w:val="007C797A"/>
    <w:rPr>
      <w:b/>
      <w:bCs/>
      <w:sz w:val="20"/>
      <w:szCs w:val="20"/>
    </w:rPr>
  </w:style>
  <w:style w:type="paragraph" w:styleId="ListParagraph">
    <w:name w:val="List Paragraph"/>
    <w:basedOn w:val="Normal"/>
    <w:uiPriority w:val="34"/>
    <w:qFormat/>
    <w:rsid w:val="004669B2"/>
    <w:pPr>
      <w:ind w:left="720"/>
      <w:contextualSpacing/>
    </w:pPr>
  </w:style>
  <w:style w:type="paragraph" w:styleId="NormalWeb">
    <w:name w:val="Normal (Web)"/>
    <w:basedOn w:val="Normal"/>
    <w:uiPriority w:val="99"/>
    <w:semiHidden/>
    <w:unhideWhenUsed/>
    <w:rsid w:val="00F37E0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AF59BD"/>
    <w:rPr>
      <w:color w:val="0000FF"/>
      <w:u w:val="single"/>
    </w:rPr>
  </w:style>
  <w:style w:type="paragraph" w:customStyle="1" w:styleId="paragraph">
    <w:name w:val="paragraph"/>
    <w:basedOn w:val="Normal"/>
    <w:rsid w:val="008E6B7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ormaltextrun">
    <w:name w:val="normaltextrun"/>
    <w:basedOn w:val="DefaultParagraphFont"/>
    <w:rsid w:val="008E6B79"/>
  </w:style>
  <w:style w:type="character" w:customStyle="1" w:styleId="eop">
    <w:name w:val="eop"/>
    <w:basedOn w:val="DefaultParagraphFont"/>
    <w:rsid w:val="008E6B79"/>
  </w:style>
  <w:style w:type="character" w:styleId="UnresolvedMention">
    <w:name w:val="Unresolved Mention"/>
    <w:basedOn w:val="DefaultParagraphFont"/>
    <w:uiPriority w:val="99"/>
    <w:semiHidden/>
    <w:unhideWhenUsed/>
    <w:rsid w:val="0018062B"/>
    <w:rPr>
      <w:color w:val="605E5C"/>
      <w:shd w:val="clear" w:color="auto" w:fill="E1DFDD"/>
    </w:rPr>
  </w:style>
  <w:style w:type="paragraph" w:customStyle="1" w:styleId="Default">
    <w:name w:val="Default"/>
    <w:rsid w:val="001118EA"/>
    <w:pPr>
      <w:autoSpaceDE w:val="0"/>
      <w:autoSpaceDN w:val="0"/>
      <w:adjustRightInd w:val="0"/>
      <w:spacing w:line="240" w:lineRule="auto"/>
    </w:pPr>
    <w:rPr>
      <w:rFonts w:ascii="Aptos" w:hAnsi="Aptos" w:cs="Apto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treasury.gov.za/documents/National%20Budget/2020/review/FullBR.pdf" TargetMode="External"/><Relationship Id="rId13" Type="http://schemas.openxmlformats.org/officeDocument/2006/relationships/hyperlink" Target="https://www.mymzansi.gov.za/" TargetMode="External"/><Relationship Id="rId18" Type="http://schemas.openxmlformats.org/officeDocument/2006/relationships/hyperlink" Target="https://www.wider.unu.edu/publication/towards-greater-poverty-reduction-zambia-0"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ciat.org/e-iad-electronic-invoicing-anomaly-detector/?lang=en" TargetMode="External"/><Relationship Id="rId7" Type="http://schemas.openxmlformats.org/officeDocument/2006/relationships/hyperlink" Target="https://www.treasury.gov.za/research/NT-SDF/NT-SDF%20Overview/Default.aspx" TargetMode="External"/><Relationship Id="rId12" Type="http://schemas.openxmlformats.org/officeDocument/2006/relationships/hyperlink" Target="https://mzansixchange.treasury.gov.za/" TargetMode="External"/><Relationship Id="rId17" Type="http://schemas.openxmlformats.org/officeDocument/2006/relationships/hyperlink" Target="https://www.wider.unu.edu/about/microzamod-simulating-tax-and-benefit-policies-development-zambia"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zipar.org.zm/" TargetMode="External"/><Relationship Id="rId20" Type="http://schemas.openxmlformats.org/officeDocument/2006/relationships/hyperlink" Target="https://www.wider.unu.edu/publication/how-our-tax-gap-research-fed-zambia-budget-2026"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tied.wider.unu.edu/article/international-tax-avoidance-and-development"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wider.unu.edu/publication/cash-plus-towards-poverty-reduction-zambia" TargetMode="External"/><Relationship Id="rId23" Type="http://schemas.openxmlformats.org/officeDocument/2006/relationships/hyperlink" Target="https://unctad.org/publication/towards-statistical-framework-measurement-tax-and-commercial-illicit-financial-flows" TargetMode="External"/><Relationship Id="rId28" Type="http://schemas.openxmlformats.org/officeDocument/2006/relationships/header" Target="header3.xml"/><Relationship Id="rId10" Type="http://schemas.openxmlformats.org/officeDocument/2006/relationships/hyperlink" Target="https://sa-tied.wider.unu.edu/article/has-the-employment-tax-incentive-created-jobs" TargetMode="External"/><Relationship Id="rId19" Type="http://schemas.openxmlformats.org/officeDocument/2006/relationships/hyperlink" Target="https://www.wider.unu.edu/publication/cash-plus-towards-poverty-reduction-zambia"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a-tied.wider.unu.edu/article/what-happens-when-you-tax-the-rich" TargetMode="External"/><Relationship Id="rId14" Type="http://schemas.openxmlformats.org/officeDocument/2006/relationships/hyperlink" Target="https://eiti.org/impact-story/armenia-model-economy-wide-beneficial-ownership-transparency" TargetMode="External"/><Relationship Id="rId22" Type="http://schemas.openxmlformats.org/officeDocument/2006/relationships/hyperlink" Target="https://unctad.org/publication/conceptual-framework-statistical-measurement-illicit-financial-flows"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9e9cc48d-6fba-4c12-9882-137473def580}" enabled="1" method="Privileged" siteId="{d3a2d0d3-7cc8-4f52-bbf9-85bd43d94279}" contentBits="3" removed="0"/>
</clbl:labelList>
</file>

<file path=docProps/app.xml><?xml version="1.0" encoding="utf-8"?>
<Properties xmlns="http://schemas.openxmlformats.org/officeDocument/2006/extended-properties" xmlns:vt="http://schemas.openxmlformats.org/officeDocument/2006/docPropsVTypes">
  <Template>Normal</Template>
  <TotalTime>568</TotalTime>
  <Pages>7</Pages>
  <Words>3615</Words>
  <Characters>20610</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Nielsen, Vibeke Oestreich</cp:lastModifiedBy>
  <cp:revision>105</cp:revision>
  <dcterms:created xsi:type="dcterms:W3CDTF">2026-04-15T21:45:00Z</dcterms:created>
  <dcterms:modified xsi:type="dcterms:W3CDTF">2026-04-17T08:01:00Z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50acd7ff,2d9b7aa7,736ffbf9</vt:lpwstr>
  </property>
  <property fmtid="{D5CDD505-2E9C-101B-9397-08002B2CF9AE}" pid="3" name="ClassificationContentMarkingHeaderFontProps">
    <vt:lpwstr>#000000,10,Aptos</vt:lpwstr>
  </property>
  <property fmtid="{D5CDD505-2E9C-101B-9397-08002B2CF9AE}" pid="4" name="ClassificationContentMarkingHeaderText">
    <vt:lpwstr>OFFICIAL</vt:lpwstr>
  </property>
  <property fmtid="{D5CDD505-2E9C-101B-9397-08002B2CF9AE}" pid="5" name="ClassificationContentMarkingFooterShapeIds">
    <vt:lpwstr>125c798f,5f20fbb7,77bcf83e</vt:lpwstr>
  </property>
  <property fmtid="{D5CDD505-2E9C-101B-9397-08002B2CF9AE}" pid="6" name="ClassificationContentMarkingFooterFontProps">
    <vt:lpwstr>#000000,10,Aptos</vt:lpwstr>
  </property>
  <property fmtid="{D5CDD505-2E9C-101B-9397-08002B2CF9AE}" pid="7" name="ClassificationContentMarkingFooterText">
    <vt:lpwstr>OFFICIAL</vt:lpwstr>
  </property>
  <property fmtid="{D5CDD505-2E9C-101B-9397-08002B2CF9AE}" pid="8" name="MSIP_Label_acc1adb0-96cf-4941-8699-3413291b0eab_Enabled">
    <vt:lpwstr>true</vt:lpwstr>
  </property>
  <property fmtid="{D5CDD505-2E9C-101B-9397-08002B2CF9AE}" pid="9" name="MSIP_Label_acc1adb0-96cf-4941-8699-3413291b0eab_SetDate">
    <vt:lpwstr>2026-04-15T20:15:33Z</vt:lpwstr>
  </property>
  <property fmtid="{D5CDD505-2E9C-101B-9397-08002B2CF9AE}" pid="10" name="MSIP_Label_acc1adb0-96cf-4941-8699-3413291b0eab_Method">
    <vt:lpwstr>Privileged</vt:lpwstr>
  </property>
  <property fmtid="{D5CDD505-2E9C-101B-9397-08002B2CF9AE}" pid="11" name="MSIP_Label_acc1adb0-96cf-4941-8699-3413291b0eab_Name">
    <vt:lpwstr>Offentlig</vt:lpwstr>
  </property>
  <property fmtid="{D5CDD505-2E9C-101B-9397-08002B2CF9AE}" pid="12" name="MSIP_Label_acc1adb0-96cf-4941-8699-3413291b0eab_SiteId">
    <vt:lpwstr>3977e38c-aa4b-439e-80ea-421a4d4ef891</vt:lpwstr>
  </property>
  <property fmtid="{D5CDD505-2E9C-101B-9397-08002B2CF9AE}" pid="13" name="MSIP_Label_acc1adb0-96cf-4941-8699-3413291b0eab_ActionId">
    <vt:lpwstr>bbbf85da-39b7-434a-8fdf-92e598de8f69</vt:lpwstr>
  </property>
  <property fmtid="{D5CDD505-2E9C-101B-9397-08002B2CF9AE}" pid="14" name="MSIP_Label_acc1adb0-96cf-4941-8699-3413291b0eab_ContentBits">
    <vt:lpwstr>0</vt:lpwstr>
  </property>
  <property fmtid="{D5CDD505-2E9C-101B-9397-08002B2CF9AE}" pid="15" name="MSIP_Label_acc1adb0-96cf-4941-8699-3413291b0eab_Tag">
    <vt:lpwstr>10, 0, 1, 1</vt:lpwstr>
  </property>
</Properties>
</file>