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93" w:rsidRPr="00537FDF" w:rsidRDefault="00746E93" w:rsidP="00005351">
      <w:pPr>
        <w:jc w:val="right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ab/>
      </w:r>
      <w:r w:rsidR="00E8417C">
        <w:rPr>
          <w:rFonts w:ascii="Verdana" w:hAnsi="Verdana"/>
          <w:b/>
          <w:noProof/>
          <w:sz w:val="24"/>
          <w:szCs w:val="24"/>
          <w:lang w:val="nb-NO" w:eastAsia="zh-CN"/>
        </w:rPr>
        <w:drawing>
          <wp:inline distT="0" distB="0" distL="0" distR="0">
            <wp:extent cx="733425" cy="895350"/>
            <wp:effectExtent l="19050" t="0" r="9525" b="0"/>
            <wp:docPr id="1" name="Picture 2" descr="3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ie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233" w:rsidRDefault="00746E93" w:rsidP="00CA408F">
      <w:pPr>
        <w:pStyle w:val="NoSpacing"/>
        <w:jc w:val="center"/>
        <w:rPr>
          <w:rFonts w:ascii="Verdana" w:hAnsi="Verdana"/>
          <w:b/>
          <w:sz w:val="32"/>
          <w:szCs w:val="32"/>
        </w:rPr>
      </w:pPr>
      <w:r w:rsidRPr="00223651">
        <w:rPr>
          <w:rFonts w:ascii="Verdana" w:hAnsi="Verdana"/>
          <w:b/>
          <w:sz w:val="32"/>
          <w:szCs w:val="32"/>
        </w:rPr>
        <w:t>IMPACT EVALUATION</w:t>
      </w:r>
      <w:r w:rsidR="000D0233">
        <w:rPr>
          <w:rFonts w:ascii="Verdana" w:hAnsi="Verdana"/>
          <w:b/>
          <w:sz w:val="32"/>
          <w:szCs w:val="32"/>
        </w:rPr>
        <w:t>:</w:t>
      </w:r>
    </w:p>
    <w:p w:rsidR="00746E93" w:rsidRDefault="000D0233" w:rsidP="00CA408F">
      <w:pPr>
        <w:pStyle w:val="NoSpacing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LECTURES AND</w:t>
      </w:r>
      <w:r w:rsidR="00746E93" w:rsidRPr="00223651">
        <w:rPr>
          <w:rFonts w:ascii="Verdana" w:hAnsi="Verdana"/>
          <w:b/>
          <w:sz w:val="32"/>
          <w:szCs w:val="32"/>
        </w:rPr>
        <w:t xml:space="preserve"> WORKSHOP</w:t>
      </w:r>
    </w:p>
    <w:p w:rsidR="000D0233" w:rsidRDefault="000D0233" w:rsidP="00CA408F">
      <w:pPr>
        <w:pStyle w:val="NoSpacing"/>
        <w:jc w:val="center"/>
        <w:rPr>
          <w:rFonts w:ascii="Verdana" w:hAnsi="Verdana"/>
          <w:b/>
          <w:sz w:val="32"/>
          <w:szCs w:val="32"/>
        </w:rPr>
      </w:pPr>
    </w:p>
    <w:p w:rsidR="00746E93" w:rsidRPr="00223651" w:rsidRDefault="000D0233" w:rsidP="00CA408F">
      <w:pPr>
        <w:pStyle w:val="NoSpacing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Hosted by </w:t>
      </w:r>
      <w:proofErr w:type="gramStart"/>
      <w:r>
        <w:rPr>
          <w:rFonts w:ascii="Verdana" w:hAnsi="Verdana"/>
          <w:b/>
          <w:sz w:val="32"/>
          <w:szCs w:val="32"/>
        </w:rPr>
        <w:t>N</w:t>
      </w:r>
      <w:r w:rsidR="004D78F1">
        <w:rPr>
          <w:rFonts w:ascii="Verdana" w:hAnsi="Verdana"/>
          <w:b/>
          <w:sz w:val="32"/>
          <w:szCs w:val="32"/>
        </w:rPr>
        <w:t>orad</w:t>
      </w:r>
      <w:proofErr w:type="gramEnd"/>
    </w:p>
    <w:p w:rsidR="00746E93" w:rsidRPr="00223651" w:rsidRDefault="00746E93" w:rsidP="00605394">
      <w:pPr>
        <w:jc w:val="center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 xml:space="preserve">20-21 </w:t>
      </w:r>
      <w:r w:rsidR="000D0233">
        <w:rPr>
          <w:rFonts w:ascii="Verdana" w:hAnsi="Verdana" w:cs="Calibri"/>
          <w:b/>
        </w:rPr>
        <w:t>November 2013</w:t>
      </w:r>
    </w:p>
    <w:p w:rsidR="00746E93" w:rsidRPr="00223651" w:rsidRDefault="000D0233" w:rsidP="005B29A0">
      <w:pPr>
        <w:spacing w:after="0"/>
        <w:jc w:val="center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Ve</w:t>
      </w:r>
      <w:r w:rsidR="00AB19D2">
        <w:rPr>
          <w:rFonts w:ascii="Verdana" w:hAnsi="Verdana" w:cs="Calibri"/>
          <w:b/>
        </w:rPr>
        <w:t xml:space="preserve">nue: </w:t>
      </w:r>
      <w:proofErr w:type="gramStart"/>
      <w:r w:rsidR="00AB19D2">
        <w:rPr>
          <w:rFonts w:ascii="Verdana" w:hAnsi="Verdana" w:cs="Calibri"/>
          <w:b/>
        </w:rPr>
        <w:t>Norad</w:t>
      </w:r>
      <w:proofErr w:type="gramEnd"/>
      <w:r w:rsidR="00AB19D2">
        <w:rPr>
          <w:rFonts w:ascii="Verdana" w:hAnsi="Verdana" w:cs="Calibri"/>
          <w:b/>
        </w:rPr>
        <w:t xml:space="preserve">, </w:t>
      </w:r>
      <w:proofErr w:type="spellStart"/>
      <w:r w:rsidR="00AB19D2">
        <w:rPr>
          <w:rFonts w:ascii="Verdana" w:hAnsi="Verdana" w:cs="Calibri"/>
          <w:b/>
        </w:rPr>
        <w:t>Ruseløkkveien</w:t>
      </w:r>
      <w:proofErr w:type="spellEnd"/>
      <w:r w:rsidR="00AB19D2">
        <w:rPr>
          <w:rFonts w:ascii="Verdana" w:hAnsi="Verdana" w:cs="Calibri"/>
          <w:b/>
        </w:rPr>
        <w:t xml:space="preserve"> 26</w:t>
      </w:r>
    </w:p>
    <w:p w:rsidR="00746E93" w:rsidRPr="00223651" w:rsidRDefault="00746E93" w:rsidP="005B29A0">
      <w:pPr>
        <w:spacing w:after="0"/>
        <w:jc w:val="center"/>
        <w:rPr>
          <w:rFonts w:ascii="Verdana" w:hAnsi="Verdana" w:cs="Calibri"/>
          <w:b/>
        </w:rPr>
      </w:pPr>
    </w:p>
    <w:p w:rsidR="000D0233" w:rsidRDefault="00746E93" w:rsidP="00223651">
      <w:pPr>
        <w:spacing w:line="240" w:lineRule="auto"/>
        <w:contextualSpacing/>
        <w:jc w:val="both"/>
        <w:rPr>
          <w:rFonts w:ascii="Verdana" w:hAnsi="Verdana" w:cs="Calibri"/>
        </w:rPr>
      </w:pPr>
      <w:r w:rsidRPr="00223651">
        <w:rPr>
          <w:rFonts w:ascii="Verdana" w:hAnsi="Verdana" w:cs="Calibri"/>
        </w:rPr>
        <w:t xml:space="preserve">The format for the </w:t>
      </w:r>
      <w:r w:rsidR="002829EA">
        <w:rPr>
          <w:rFonts w:ascii="Verdana" w:hAnsi="Verdana" w:cs="Calibri"/>
        </w:rPr>
        <w:t xml:space="preserve">three day impact evaluation event </w:t>
      </w:r>
      <w:r w:rsidRPr="00223651">
        <w:rPr>
          <w:rFonts w:ascii="Verdana" w:hAnsi="Verdana" w:cs="Calibri"/>
        </w:rPr>
        <w:t>consists</w:t>
      </w:r>
      <w:r w:rsidR="000D0233">
        <w:rPr>
          <w:rFonts w:ascii="Verdana" w:hAnsi="Verdana" w:cs="Calibri"/>
        </w:rPr>
        <w:t>:</w:t>
      </w:r>
    </w:p>
    <w:p w:rsidR="00FA32EE" w:rsidRPr="002829EA" w:rsidRDefault="00FA32EE" w:rsidP="002829E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Verdana" w:hAnsi="Verdana" w:cs="Calibri"/>
        </w:rPr>
      </w:pPr>
      <w:r w:rsidRPr="002829EA">
        <w:rPr>
          <w:rFonts w:ascii="Verdana" w:hAnsi="Verdana" w:cs="Calibri"/>
        </w:rPr>
        <w:t>Four stand-alone lectures, which may be attended by a wider audience than attends the workshop</w:t>
      </w:r>
      <w:r w:rsidR="002829EA" w:rsidRPr="002829EA">
        <w:rPr>
          <w:rFonts w:ascii="Verdana" w:hAnsi="Verdana" w:cs="Calibri"/>
        </w:rPr>
        <w:tab/>
      </w:r>
    </w:p>
    <w:p w:rsidR="002829EA" w:rsidRDefault="002829EA" w:rsidP="002829EA">
      <w:pPr>
        <w:pStyle w:val="ListParagraph"/>
        <w:spacing w:line="240" w:lineRule="auto"/>
        <w:jc w:val="both"/>
        <w:rPr>
          <w:rFonts w:ascii="Verdana" w:hAnsi="Verdana" w:cs="Calibri"/>
        </w:rPr>
      </w:pPr>
    </w:p>
    <w:p w:rsidR="00FA32EE" w:rsidRPr="002829EA" w:rsidRDefault="00FA32EE" w:rsidP="00223651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Verdana" w:hAnsi="Verdana" w:cs="Calibri"/>
        </w:rPr>
      </w:pPr>
      <w:r w:rsidRPr="002829EA">
        <w:rPr>
          <w:rFonts w:ascii="Verdana" w:hAnsi="Verdana" w:cs="Calibri"/>
        </w:rPr>
        <w:t>Workshop presentations to provide additional information and explain exercises</w:t>
      </w:r>
    </w:p>
    <w:p w:rsidR="002829EA" w:rsidRDefault="002829EA" w:rsidP="002829EA">
      <w:pPr>
        <w:pStyle w:val="ListParagraph"/>
        <w:spacing w:line="240" w:lineRule="auto"/>
        <w:jc w:val="both"/>
        <w:rPr>
          <w:rFonts w:ascii="Verdana" w:hAnsi="Verdana" w:cs="Calibri"/>
        </w:rPr>
      </w:pPr>
    </w:p>
    <w:p w:rsidR="00746E93" w:rsidRPr="002829EA" w:rsidRDefault="00FA32EE" w:rsidP="002829E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Verdana" w:hAnsi="Verdana" w:cs="Calibri"/>
        </w:rPr>
      </w:pPr>
      <w:r w:rsidRPr="002829EA">
        <w:rPr>
          <w:rFonts w:ascii="Verdana" w:hAnsi="Verdana" w:cs="Calibri"/>
        </w:rPr>
        <w:t xml:space="preserve">Group exercises conducted in groups of 4-5 people. The group exercises will work though the evaluation design for selected interventions taken from the programmes of the participating agencies.  </w:t>
      </w:r>
      <w:r w:rsidR="00746E93" w:rsidRPr="002829EA">
        <w:rPr>
          <w:rFonts w:ascii="Verdana" w:hAnsi="Verdana" w:cs="Calibri"/>
        </w:rPr>
        <w:t>Each group will work on one intervention throughout the event</w:t>
      </w:r>
      <w:r w:rsidRPr="002829EA">
        <w:rPr>
          <w:rFonts w:ascii="Verdana" w:hAnsi="Verdana" w:cs="Calibri"/>
        </w:rPr>
        <w:t xml:space="preserve"> (possibly with re-grouping on day three)</w:t>
      </w:r>
      <w:r w:rsidR="00746E93" w:rsidRPr="002829EA">
        <w:rPr>
          <w:rFonts w:ascii="Verdana" w:hAnsi="Verdana" w:cs="Calibri"/>
        </w:rPr>
        <w:t>. There will be inter-group exchanges to learn from other groups and plenary presentations of these proposed designs at the end of the workshop.</w:t>
      </w:r>
    </w:p>
    <w:p w:rsidR="00746E93" w:rsidRDefault="00594926" w:rsidP="00594926">
      <w:pPr>
        <w:spacing w:line="240" w:lineRule="auto"/>
        <w:contextualSpacing/>
        <w:rPr>
          <w:rFonts w:ascii="Verdana" w:hAnsi="Verdana" w:cs="Calibri"/>
          <w:b/>
        </w:rPr>
      </w:pPr>
      <w:r w:rsidRPr="00F61707">
        <w:rPr>
          <w:rFonts w:ascii="Verdana" w:hAnsi="Verdana" w:cs="Calibri"/>
        </w:rPr>
        <w:t>Participants may attend (1) one or more l</w:t>
      </w:r>
      <w:r w:rsidR="00AB19D2">
        <w:rPr>
          <w:rFonts w:ascii="Verdana" w:hAnsi="Verdana" w:cs="Calibri"/>
        </w:rPr>
        <w:t xml:space="preserve">ectures, which are open to all, or </w:t>
      </w:r>
      <w:r w:rsidRPr="00F61707">
        <w:rPr>
          <w:rFonts w:ascii="Verdana" w:hAnsi="Verdana" w:cs="Calibri"/>
        </w:rPr>
        <w:t>(2) days one and two, which are intended for commissioners and users of impact evaluation</w:t>
      </w:r>
      <w:r w:rsidR="00AB19D2">
        <w:rPr>
          <w:rFonts w:ascii="Verdana" w:hAnsi="Verdana" w:cs="Calibri"/>
        </w:rPr>
        <w:t>.</w:t>
      </w:r>
    </w:p>
    <w:p w:rsidR="00594926" w:rsidRPr="00223651" w:rsidRDefault="00594926" w:rsidP="00605394">
      <w:pPr>
        <w:spacing w:line="240" w:lineRule="auto"/>
        <w:contextualSpacing/>
        <w:jc w:val="both"/>
        <w:rPr>
          <w:rFonts w:ascii="Verdana" w:hAnsi="Verdana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746E93" w:rsidRPr="0003378F" w:rsidTr="0003378F">
        <w:tc>
          <w:tcPr>
            <w:tcW w:w="9242" w:type="dxa"/>
            <w:shd w:val="clear" w:color="auto" w:fill="F2F2F2"/>
          </w:tcPr>
          <w:p w:rsidR="00746E93" w:rsidRPr="0003378F" w:rsidRDefault="00746E93" w:rsidP="0003378F">
            <w:pPr>
              <w:spacing w:before="120" w:after="180" w:line="240" w:lineRule="auto"/>
              <w:ind w:left="357"/>
              <w:rPr>
                <w:rFonts w:ascii="Verdana" w:hAnsi="Verdana" w:cs="Calibri"/>
                <w:u w:val="single"/>
              </w:rPr>
            </w:pPr>
            <w:r w:rsidRPr="0003378F">
              <w:rPr>
                <w:rFonts w:ascii="Verdana" w:hAnsi="Verdana" w:cs="Calibri"/>
                <w:b/>
              </w:rPr>
              <w:t>LEARNING OUTCOMES</w:t>
            </w:r>
          </w:p>
          <w:p w:rsidR="00AB19D2" w:rsidRDefault="00746E93" w:rsidP="0003378F">
            <w:pPr>
              <w:pStyle w:val="ListParagraph"/>
              <w:numPr>
                <w:ilvl w:val="0"/>
                <w:numId w:val="4"/>
              </w:numPr>
              <w:spacing w:after="180" w:line="240" w:lineRule="auto"/>
              <w:contextualSpacing w:val="0"/>
              <w:jc w:val="both"/>
              <w:rPr>
                <w:rFonts w:ascii="Verdana" w:hAnsi="Verdana" w:cs="Calibri"/>
              </w:rPr>
            </w:pPr>
            <w:r w:rsidRPr="00AB19D2">
              <w:rPr>
                <w:rFonts w:ascii="Verdana" w:hAnsi="Verdana" w:cs="Calibri"/>
              </w:rPr>
              <w:t>What is rigorous impact evaluation and why it matters, including ho</w:t>
            </w:r>
            <w:r w:rsidR="00AB19D2" w:rsidRPr="00AB19D2">
              <w:rPr>
                <w:rFonts w:ascii="Verdana" w:hAnsi="Verdana" w:cs="Calibri"/>
              </w:rPr>
              <w:t>w it relates to the results of Nor</w:t>
            </w:r>
            <w:r w:rsidR="00AB19D2">
              <w:rPr>
                <w:rFonts w:ascii="Verdana" w:hAnsi="Verdana" w:cs="Calibri"/>
              </w:rPr>
              <w:t>wegian development cooperation?</w:t>
            </w:r>
          </w:p>
          <w:p w:rsidR="00746E93" w:rsidRPr="00AB19D2" w:rsidRDefault="00746E93" w:rsidP="0003378F">
            <w:pPr>
              <w:pStyle w:val="ListParagraph"/>
              <w:numPr>
                <w:ilvl w:val="0"/>
                <w:numId w:val="4"/>
              </w:numPr>
              <w:spacing w:after="180" w:line="240" w:lineRule="auto"/>
              <w:contextualSpacing w:val="0"/>
              <w:jc w:val="both"/>
              <w:rPr>
                <w:rFonts w:ascii="Verdana" w:hAnsi="Verdana" w:cs="Calibri"/>
              </w:rPr>
            </w:pPr>
            <w:r w:rsidRPr="00AB19D2">
              <w:rPr>
                <w:rFonts w:ascii="Verdana" w:hAnsi="Verdana" w:cs="Calibri"/>
              </w:rPr>
              <w:t>Situating impact evaluation in the theory of change</w:t>
            </w:r>
          </w:p>
          <w:p w:rsidR="00746E93" w:rsidRPr="0003378F" w:rsidRDefault="00746E93" w:rsidP="0003378F">
            <w:pPr>
              <w:pStyle w:val="ListParagraph"/>
              <w:numPr>
                <w:ilvl w:val="0"/>
                <w:numId w:val="4"/>
              </w:numPr>
              <w:spacing w:after="180" w:line="240" w:lineRule="auto"/>
              <w:contextualSpacing w:val="0"/>
              <w:jc w:val="both"/>
              <w:rPr>
                <w:rFonts w:ascii="Verdana" w:hAnsi="Verdana" w:cs="Calibri"/>
              </w:rPr>
            </w:pPr>
            <w:r w:rsidRPr="0003378F">
              <w:rPr>
                <w:rFonts w:ascii="Verdana" w:hAnsi="Verdana" w:cs="Calibri"/>
              </w:rPr>
              <w:t>Methods for establishing the counterfactual</w:t>
            </w:r>
          </w:p>
          <w:p w:rsidR="00FA32EE" w:rsidRPr="00AB19D2" w:rsidRDefault="00746E93" w:rsidP="00AB19D2">
            <w:pPr>
              <w:pStyle w:val="ListParagraph"/>
              <w:numPr>
                <w:ilvl w:val="0"/>
                <w:numId w:val="4"/>
              </w:numPr>
              <w:spacing w:after="180" w:line="240" w:lineRule="auto"/>
              <w:contextualSpacing w:val="0"/>
              <w:jc w:val="both"/>
              <w:rPr>
                <w:rFonts w:ascii="Verdana" w:hAnsi="Verdana"/>
              </w:rPr>
            </w:pPr>
            <w:r w:rsidRPr="0003378F">
              <w:rPr>
                <w:rFonts w:ascii="Verdana" w:hAnsi="Verdana" w:cs="Calibri"/>
              </w:rPr>
              <w:t>Time and budget requirements for rigorous impact evaluation</w:t>
            </w:r>
          </w:p>
          <w:p w:rsidR="00AB19D2" w:rsidRPr="00AB19D2" w:rsidRDefault="00AB19D2" w:rsidP="00AB19D2">
            <w:pPr>
              <w:spacing w:after="180" w:line="240" w:lineRule="auto"/>
              <w:ind w:left="360"/>
              <w:jc w:val="both"/>
              <w:rPr>
                <w:rFonts w:ascii="Verdana" w:hAnsi="Verdana"/>
              </w:rPr>
            </w:pPr>
          </w:p>
        </w:tc>
      </w:tr>
    </w:tbl>
    <w:p w:rsidR="002829EA" w:rsidRDefault="002829EA" w:rsidP="00394A5C">
      <w:pPr>
        <w:jc w:val="center"/>
        <w:rPr>
          <w:rFonts w:ascii="Verdana" w:hAnsi="Verdana" w:cs="Calibri"/>
          <w:b/>
        </w:rPr>
      </w:pPr>
    </w:p>
    <w:p w:rsidR="002829EA" w:rsidRDefault="002829EA">
      <w:pPr>
        <w:spacing w:after="0" w:line="240" w:lineRule="auto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br w:type="page"/>
      </w:r>
    </w:p>
    <w:p w:rsidR="00746E93" w:rsidRPr="00223651" w:rsidRDefault="002829EA">
      <w:pPr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lastRenderedPageBreak/>
        <w:t xml:space="preserve">Wednesday </w:t>
      </w:r>
      <w:r w:rsidR="00746E93">
        <w:rPr>
          <w:rFonts w:ascii="Verdana" w:hAnsi="Verdana" w:cs="Calibri"/>
          <w:b/>
        </w:rPr>
        <w:t>20</w:t>
      </w:r>
      <w:r w:rsidR="00746E93" w:rsidRPr="006E740D">
        <w:rPr>
          <w:rFonts w:ascii="Verdana" w:hAnsi="Verdana" w:cs="Calibri"/>
          <w:b/>
          <w:vertAlign w:val="superscript"/>
        </w:rPr>
        <w:t>th</w:t>
      </w:r>
      <w:r w:rsidR="00746E93">
        <w:rPr>
          <w:rFonts w:ascii="Verdana" w:hAnsi="Verdana" w:cs="Calibri"/>
          <w:b/>
        </w:rPr>
        <w:t xml:space="preserve"> </w:t>
      </w:r>
      <w:r>
        <w:rPr>
          <w:rFonts w:ascii="Verdana" w:hAnsi="Verdana" w:cs="Calibri"/>
          <w:b/>
        </w:rPr>
        <w:t>November 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000"/>
      </w:tblGrid>
      <w:tr w:rsidR="00746E93" w:rsidRPr="0003378F" w:rsidTr="0003378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bottom w:w="142" w:type="dxa"/>
            </w:tcMar>
          </w:tcPr>
          <w:p w:rsidR="00746E93" w:rsidRPr="0003378F" w:rsidRDefault="00746E93" w:rsidP="00957806">
            <w:pPr>
              <w:spacing w:after="0" w:line="240" w:lineRule="auto"/>
              <w:rPr>
                <w:rFonts w:ascii="Verdana" w:hAnsi="Verdana" w:cs="Calibri"/>
              </w:rPr>
            </w:pPr>
            <w:r w:rsidRPr="0003378F">
              <w:rPr>
                <w:rFonts w:ascii="Verdana" w:hAnsi="Verdana" w:cs="Calibri"/>
              </w:rPr>
              <w:t>0</w:t>
            </w:r>
            <w:r w:rsidR="00E8417C">
              <w:rPr>
                <w:rFonts w:ascii="Verdana" w:hAnsi="Verdana" w:cs="Calibri"/>
              </w:rPr>
              <w:t>8.</w:t>
            </w:r>
            <w:r w:rsidR="00957806">
              <w:rPr>
                <w:rFonts w:ascii="Verdana" w:hAnsi="Verdana" w:cs="Calibri"/>
              </w:rPr>
              <w:t>30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746E93" w:rsidRPr="0003378F" w:rsidRDefault="00746E93" w:rsidP="0003378F">
            <w:pPr>
              <w:spacing w:after="0" w:line="240" w:lineRule="auto"/>
              <w:rPr>
                <w:rFonts w:ascii="Verdana" w:hAnsi="Verdana" w:cs="Calibri"/>
              </w:rPr>
            </w:pPr>
            <w:r w:rsidRPr="0003378F">
              <w:rPr>
                <w:rFonts w:ascii="Verdana" w:hAnsi="Verdana" w:cs="Calibri"/>
              </w:rPr>
              <w:t>Registration</w:t>
            </w:r>
          </w:p>
        </w:tc>
      </w:tr>
      <w:tr w:rsidR="00746E93" w:rsidRPr="0003378F" w:rsidTr="0003378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bottom w:w="142" w:type="dxa"/>
            </w:tcMar>
          </w:tcPr>
          <w:p w:rsidR="00746E93" w:rsidRPr="006B4CB8" w:rsidRDefault="00746E93" w:rsidP="00676E9F">
            <w:pPr>
              <w:spacing w:after="0" w:line="240" w:lineRule="auto"/>
              <w:rPr>
                <w:rFonts w:ascii="Verdana" w:hAnsi="Verdana" w:cs="Calibri"/>
              </w:rPr>
            </w:pPr>
            <w:r w:rsidRPr="006B4CB8">
              <w:rPr>
                <w:rFonts w:ascii="Verdana" w:hAnsi="Verdana" w:cs="Calibri"/>
              </w:rPr>
              <w:t>09.</w:t>
            </w:r>
            <w:r w:rsidR="00676E9F">
              <w:rPr>
                <w:rFonts w:ascii="Verdana" w:hAnsi="Verdana" w:cs="Calibri"/>
              </w:rPr>
              <w:t>00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2829EA" w:rsidRDefault="002829EA" w:rsidP="0003378F">
            <w:pPr>
              <w:spacing w:after="0" w:line="240" w:lineRule="auto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Lecture 1</w:t>
            </w:r>
          </w:p>
          <w:p w:rsidR="00746E93" w:rsidRPr="006B4CB8" w:rsidRDefault="002829EA" w:rsidP="002829EA">
            <w:pPr>
              <w:spacing w:after="0" w:line="24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  <w:b/>
              </w:rPr>
              <w:t>Using a theory of change approach in i</w:t>
            </w:r>
            <w:r w:rsidRPr="0003378F">
              <w:rPr>
                <w:rFonts w:ascii="Verdana" w:hAnsi="Verdana" w:cs="Calibri"/>
                <w:b/>
              </w:rPr>
              <w:t>mpact evaluation</w:t>
            </w:r>
            <w:r>
              <w:rPr>
                <w:rFonts w:ascii="Verdana" w:hAnsi="Verdana" w:cs="Calibri"/>
                <w:b/>
              </w:rPr>
              <w:t xml:space="preserve"> design</w:t>
            </w:r>
            <w:r w:rsidRPr="0003378F">
              <w:rPr>
                <w:rFonts w:ascii="Verdana" w:hAnsi="Verdana" w:cs="Calibri"/>
                <w:b/>
              </w:rPr>
              <w:t>: an introduction</w:t>
            </w:r>
          </w:p>
        </w:tc>
      </w:tr>
      <w:tr w:rsidR="00746E93" w:rsidRPr="0003378F" w:rsidTr="0003378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bottom w:w="142" w:type="dxa"/>
            </w:tcMar>
          </w:tcPr>
          <w:p w:rsidR="00746E93" w:rsidRPr="000032A5" w:rsidRDefault="002829EA" w:rsidP="00676E9F">
            <w:pPr>
              <w:spacing w:after="0" w:line="24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10.</w:t>
            </w:r>
            <w:r w:rsidR="00676E9F">
              <w:rPr>
                <w:rFonts w:ascii="Verdana" w:hAnsi="Verdana" w:cs="Calibri"/>
              </w:rPr>
              <w:t>30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746E93" w:rsidRPr="002829EA" w:rsidRDefault="002829EA" w:rsidP="0003378F">
            <w:pPr>
              <w:spacing w:after="0" w:line="240" w:lineRule="auto"/>
              <w:rPr>
                <w:rFonts w:ascii="Verdana" w:hAnsi="Verdana" w:cs="Calibri"/>
                <w:i/>
              </w:rPr>
            </w:pPr>
            <w:r w:rsidRPr="002829EA">
              <w:rPr>
                <w:rFonts w:ascii="Verdana" w:hAnsi="Verdana" w:cs="Calibri"/>
              </w:rPr>
              <w:t>Break</w:t>
            </w:r>
          </w:p>
          <w:p w:rsidR="00746E93" w:rsidRPr="000032A5" w:rsidRDefault="00746E93" w:rsidP="0003378F">
            <w:pPr>
              <w:spacing w:after="0" w:line="240" w:lineRule="auto"/>
              <w:rPr>
                <w:rFonts w:ascii="Verdana" w:hAnsi="Verdana" w:cs="Calibri"/>
              </w:rPr>
            </w:pPr>
          </w:p>
        </w:tc>
      </w:tr>
      <w:tr w:rsidR="00746E93" w:rsidRPr="0003378F" w:rsidTr="0003378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bottom w:w="142" w:type="dxa"/>
            </w:tcMar>
          </w:tcPr>
          <w:p w:rsidR="00746E93" w:rsidRPr="0003378F" w:rsidRDefault="00676E9F" w:rsidP="00676E9F">
            <w:pPr>
              <w:spacing w:after="0" w:line="24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10.45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2829EA" w:rsidRDefault="002829EA" w:rsidP="002829EA">
            <w:pPr>
              <w:spacing w:after="0" w:line="240" w:lineRule="auto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Defining the counterfactual</w:t>
            </w:r>
          </w:p>
          <w:p w:rsidR="00746E93" w:rsidRPr="002829EA" w:rsidRDefault="002829EA" w:rsidP="0003378F">
            <w:pPr>
              <w:spacing w:after="0" w:line="240" w:lineRule="auto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Presentation followed by group work</w:t>
            </w:r>
          </w:p>
          <w:p w:rsidR="00E8417C" w:rsidRPr="0003378F" w:rsidRDefault="00E8417C" w:rsidP="002829EA">
            <w:pPr>
              <w:spacing w:after="0" w:line="240" w:lineRule="auto"/>
              <w:rPr>
                <w:rFonts w:ascii="Verdana" w:hAnsi="Verdana" w:cs="Calibri"/>
              </w:rPr>
            </w:pPr>
          </w:p>
        </w:tc>
      </w:tr>
      <w:tr w:rsidR="00E8417C" w:rsidRPr="0003378F" w:rsidTr="0003378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bottom w:w="142" w:type="dxa"/>
            </w:tcMar>
          </w:tcPr>
          <w:p w:rsidR="00E8417C" w:rsidRDefault="00676E9F" w:rsidP="00676E9F">
            <w:pPr>
              <w:spacing w:after="0" w:line="24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11.45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676E9F" w:rsidRPr="002829EA" w:rsidRDefault="00676E9F" w:rsidP="00676E9F">
            <w:pPr>
              <w:spacing w:after="0" w:line="240" w:lineRule="auto"/>
              <w:rPr>
                <w:rFonts w:ascii="Verdana" w:hAnsi="Verdana" w:cs="Calibri"/>
                <w:b/>
                <w:i/>
              </w:rPr>
            </w:pPr>
            <w:r>
              <w:rPr>
                <w:rFonts w:ascii="Verdana" w:hAnsi="Verdana" w:cs="Calibri"/>
              </w:rPr>
              <w:t>Lunch</w:t>
            </w:r>
            <w:r>
              <w:rPr>
                <w:rFonts w:ascii="Verdana" w:hAnsi="Verdana" w:cs="Calibri"/>
                <w:b/>
              </w:rPr>
              <w:t xml:space="preserve"> </w:t>
            </w:r>
          </w:p>
          <w:p w:rsidR="00E8417C" w:rsidRPr="002829EA" w:rsidRDefault="00E8417C" w:rsidP="0003378F">
            <w:pPr>
              <w:spacing w:after="0" w:line="240" w:lineRule="auto"/>
              <w:rPr>
                <w:rFonts w:ascii="Verdana" w:hAnsi="Verdana" w:cs="Calibri"/>
                <w:b/>
                <w:i/>
              </w:rPr>
            </w:pPr>
          </w:p>
        </w:tc>
      </w:tr>
      <w:tr w:rsidR="00746E93" w:rsidRPr="0003378F" w:rsidTr="0003378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bottom w:w="142" w:type="dxa"/>
            </w:tcMar>
          </w:tcPr>
          <w:p w:rsidR="00746E93" w:rsidRPr="0003378F" w:rsidRDefault="00676E9F" w:rsidP="00676E9F">
            <w:pPr>
              <w:spacing w:after="0" w:line="24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12</w:t>
            </w:r>
            <w:r w:rsidR="002829EA">
              <w:rPr>
                <w:rFonts w:ascii="Verdana" w:hAnsi="Verdana" w:cs="Calibri"/>
              </w:rPr>
              <w:t>.</w:t>
            </w:r>
            <w:r>
              <w:rPr>
                <w:rFonts w:ascii="Verdana" w:hAnsi="Verdana" w:cs="Calibri"/>
              </w:rPr>
              <w:t>30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676E9F" w:rsidRDefault="00676E9F" w:rsidP="00676E9F">
            <w:pPr>
              <w:spacing w:after="0" w:line="240" w:lineRule="auto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Mapping the theory of change, identifying evaluation questions and the appropriate mix of methods</w:t>
            </w:r>
          </w:p>
          <w:p w:rsidR="00746E93" w:rsidRPr="0003378F" w:rsidRDefault="00676E9F" w:rsidP="00676E9F">
            <w:pPr>
              <w:spacing w:after="0" w:line="24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  <w:i/>
              </w:rPr>
              <w:t>Presentation followed by group work</w:t>
            </w:r>
          </w:p>
        </w:tc>
      </w:tr>
      <w:tr w:rsidR="00E8417C" w:rsidRPr="0003378F" w:rsidTr="0003378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bottom w:w="142" w:type="dxa"/>
            </w:tcMar>
          </w:tcPr>
          <w:p w:rsidR="00E8417C" w:rsidRDefault="002829EA" w:rsidP="00676E9F">
            <w:pPr>
              <w:spacing w:after="0" w:line="24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14.</w:t>
            </w:r>
            <w:r w:rsidR="00676E9F">
              <w:rPr>
                <w:rFonts w:ascii="Verdana" w:hAnsi="Verdana" w:cs="Calibri"/>
              </w:rPr>
              <w:t>00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E8417C" w:rsidRDefault="002829EA" w:rsidP="00E8417C">
            <w:pPr>
              <w:spacing w:after="0" w:line="240" w:lineRule="auto"/>
              <w:rPr>
                <w:rFonts w:ascii="Verdana" w:hAnsi="Verdana" w:cs="Calibri"/>
              </w:rPr>
            </w:pPr>
            <w:r w:rsidRPr="002829EA">
              <w:rPr>
                <w:rFonts w:ascii="Verdana" w:hAnsi="Verdana" w:cs="Calibri"/>
                <w:b/>
              </w:rPr>
              <w:t>Impact evaluation: an example</w:t>
            </w:r>
          </w:p>
          <w:p w:rsidR="00E8417C" w:rsidRPr="002829EA" w:rsidRDefault="00931406" w:rsidP="00E8417C">
            <w:pPr>
              <w:spacing w:after="0" w:line="240" w:lineRule="auto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Guest presen</w:t>
            </w:r>
            <w:r w:rsidR="002829EA">
              <w:rPr>
                <w:rFonts w:ascii="Verdana" w:hAnsi="Verdana" w:cs="Calibri"/>
                <w:i/>
              </w:rPr>
              <w:t>tation</w:t>
            </w:r>
            <w:r w:rsidR="00E87C0A">
              <w:rPr>
                <w:rFonts w:ascii="Verdana" w:hAnsi="Verdana" w:cs="Calibri"/>
                <w:i/>
              </w:rPr>
              <w:t xml:space="preserve">: </w:t>
            </w:r>
            <w:proofErr w:type="spellStart"/>
            <w:r w:rsidR="00E87C0A">
              <w:rPr>
                <w:rFonts w:ascii="Verdana" w:hAnsi="Verdana" w:cs="Calibri"/>
                <w:i/>
              </w:rPr>
              <w:t>Dr.</w:t>
            </w:r>
            <w:proofErr w:type="spellEnd"/>
            <w:r w:rsidR="00E87C0A">
              <w:rPr>
                <w:rFonts w:ascii="Verdana" w:hAnsi="Verdana" w:cs="Calibri"/>
                <w:i/>
              </w:rPr>
              <w:t xml:space="preserve"> Ida Lindkvist</w:t>
            </w:r>
          </w:p>
        </w:tc>
      </w:tr>
      <w:tr w:rsidR="00746E93" w:rsidRPr="0003378F" w:rsidTr="0003378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bottom w:w="142" w:type="dxa"/>
            </w:tcMar>
          </w:tcPr>
          <w:p w:rsidR="00746E93" w:rsidRPr="0003378F" w:rsidRDefault="00676E9F" w:rsidP="00676E9F">
            <w:pPr>
              <w:spacing w:after="0" w:line="24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14</w:t>
            </w:r>
            <w:r w:rsidR="002829EA">
              <w:rPr>
                <w:rFonts w:ascii="Verdana" w:hAnsi="Verdana" w:cs="Calibri"/>
              </w:rPr>
              <w:t>.</w:t>
            </w:r>
            <w:r>
              <w:rPr>
                <w:rFonts w:ascii="Verdana" w:hAnsi="Verdana" w:cs="Calibri"/>
              </w:rPr>
              <w:t>30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746E93" w:rsidRPr="0003378F" w:rsidRDefault="002829EA" w:rsidP="0003378F">
            <w:pPr>
              <w:spacing w:after="0" w:line="24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Break</w:t>
            </w:r>
          </w:p>
        </w:tc>
      </w:tr>
      <w:tr w:rsidR="00746E93" w:rsidRPr="0003378F" w:rsidTr="0003378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bottom w:w="142" w:type="dxa"/>
            </w:tcMar>
          </w:tcPr>
          <w:p w:rsidR="00746E93" w:rsidRPr="0003378F" w:rsidRDefault="002829EA" w:rsidP="00676E9F">
            <w:pPr>
              <w:spacing w:after="0" w:line="24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</w:t>
            </w:r>
            <w:r w:rsidR="00676E9F">
              <w:rPr>
                <w:rFonts w:ascii="Verdana" w:hAnsi="Verdana" w:cs="Calibri"/>
              </w:rPr>
              <w:t>4</w:t>
            </w:r>
            <w:r>
              <w:rPr>
                <w:rFonts w:ascii="Verdana" w:hAnsi="Verdana" w:cs="Calibri"/>
              </w:rPr>
              <w:t>.45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2829EA" w:rsidRDefault="002829EA" w:rsidP="0003378F">
            <w:pPr>
              <w:spacing w:after="0" w:line="240" w:lineRule="auto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Lecture 2</w:t>
            </w:r>
          </w:p>
          <w:p w:rsidR="00746E93" w:rsidRPr="0003378F" w:rsidRDefault="002829EA" w:rsidP="0003378F">
            <w:pPr>
              <w:spacing w:after="0" w:line="240" w:lineRule="auto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R</w:t>
            </w:r>
            <w:r w:rsidR="00746E93" w:rsidRPr="0003378F">
              <w:rPr>
                <w:rFonts w:ascii="Verdana" w:hAnsi="Verdana" w:cs="Calibri"/>
                <w:b/>
              </w:rPr>
              <w:t>andomized control</w:t>
            </w:r>
            <w:r>
              <w:rPr>
                <w:rFonts w:ascii="Verdana" w:hAnsi="Verdana" w:cs="Calibri"/>
                <w:b/>
              </w:rPr>
              <w:t>led</w:t>
            </w:r>
            <w:r w:rsidR="00746E93" w:rsidRPr="0003378F">
              <w:rPr>
                <w:rFonts w:ascii="Verdana" w:hAnsi="Verdana" w:cs="Calibri"/>
                <w:b/>
              </w:rPr>
              <w:t xml:space="preserve"> trials</w:t>
            </w:r>
            <w:r>
              <w:rPr>
                <w:rFonts w:ascii="Verdana" w:hAnsi="Verdana" w:cs="Calibri"/>
                <w:b/>
              </w:rPr>
              <w:t xml:space="preserve"> in international development</w:t>
            </w:r>
          </w:p>
        </w:tc>
      </w:tr>
      <w:tr w:rsidR="00746E93" w:rsidRPr="0003378F" w:rsidTr="0003378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bottom w:w="142" w:type="dxa"/>
            </w:tcMar>
          </w:tcPr>
          <w:p w:rsidR="00746E93" w:rsidRPr="006E391A" w:rsidRDefault="002829EA" w:rsidP="00901827">
            <w:pPr>
              <w:spacing w:after="0" w:line="24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</w:t>
            </w:r>
            <w:r w:rsidR="00901827">
              <w:rPr>
                <w:rFonts w:ascii="Verdana" w:hAnsi="Verdana" w:cs="Calibri"/>
              </w:rPr>
              <w:t>6</w:t>
            </w:r>
            <w:r w:rsidR="00746E93">
              <w:rPr>
                <w:rFonts w:ascii="Verdana" w:hAnsi="Verdana" w:cs="Calibri"/>
              </w:rPr>
              <w:t>:</w:t>
            </w:r>
            <w:r>
              <w:rPr>
                <w:rFonts w:ascii="Verdana" w:hAnsi="Verdana" w:cs="Calibri"/>
              </w:rPr>
              <w:t>00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746E93" w:rsidRDefault="002829EA" w:rsidP="0003378F">
            <w:pPr>
              <w:spacing w:after="0" w:line="240" w:lineRule="auto"/>
              <w:rPr>
                <w:rFonts w:ascii="Verdana" w:hAnsi="Verdana" w:cs="Calibri"/>
              </w:rPr>
            </w:pPr>
            <w:r w:rsidRPr="002829EA">
              <w:rPr>
                <w:rFonts w:ascii="Verdana" w:hAnsi="Verdana" w:cs="Calibri"/>
              </w:rPr>
              <w:t>Close</w:t>
            </w:r>
          </w:p>
          <w:p w:rsidR="009B0604" w:rsidRPr="006E391A" w:rsidRDefault="009B0604" w:rsidP="0003378F">
            <w:pPr>
              <w:spacing w:after="0" w:line="240" w:lineRule="auto"/>
              <w:rPr>
                <w:rFonts w:ascii="Verdana" w:hAnsi="Verdana" w:cs="Calibri"/>
                <w:i/>
              </w:rPr>
            </w:pPr>
          </w:p>
        </w:tc>
      </w:tr>
    </w:tbl>
    <w:p w:rsidR="002829EA" w:rsidRDefault="009B0604">
      <w:r>
        <w:rPr>
          <w:rFonts w:ascii="Verdana" w:hAnsi="Verdana" w:cs="Calibri"/>
          <w:b/>
        </w:rPr>
        <w:t>Thursday 21st November 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000"/>
      </w:tblGrid>
      <w:tr w:rsidR="00746E93" w:rsidRPr="0003378F" w:rsidTr="0003378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bottom w:w="142" w:type="dxa"/>
            </w:tcMar>
          </w:tcPr>
          <w:p w:rsidR="00746E93" w:rsidRPr="0003378F" w:rsidRDefault="009B0604" w:rsidP="00E87C0A">
            <w:pPr>
              <w:spacing w:after="0" w:line="24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0</w:t>
            </w:r>
            <w:r w:rsidR="00E87C0A">
              <w:rPr>
                <w:rFonts w:ascii="Verdana" w:hAnsi="Verdana" w:cs="Calibri"/>
              </w:rPr>
              <w:t>8</w:t>
            </w:r>
            <w:r>
              <w:rPr>
                <w:rFonts w:ascii="Verdana" w:hAnsi="Verdana" w:cs="Calibri"/>
              </w:rPr>
              <w:t>.</w:t>
            </w:r>
            <w:r w:rsidR="00901827">
              <w:rPr>
                <w:rFonts w:ascii="Verdana" w:hAnsi="Verdana" w:cs="Calibri"/>
              </w:rPr>
              <w:t>30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746E93" w:rsidRPr="00B129AE" w:rsidRDefault="00746E93" w:rsidP="0003378F">
            <w:pPr>
              <w:spacing w:after="0" w:line="240" w:lineRule="auto"/>
              <w:rPr>
                <w:rFonts w:ascii="Verdana" w:hAnsi="Verdana" w:cs="Calibri"/>
                <w:i/>
              </w:rPr>
            </w:pPr>
            <w:r w:rsidRPr="00E8417C">
              <w:rPr>
                <w:rFonts w:ascii="Verdana" w:hAnsi="Verdana" w:cs="Calibri"/>
                <w:i/>
              </w:rPr>
              <w:t xml:space="preserve">Group work on </w:t>
            </w:r>
            <w:r w:rsidR="009B0604">
              <w:rPr>
                <w:rFonts w:ascii="Verdana" w:hAnsi="Verdana" w:cs="Calibri"/>
                <w:i/>
              </w:rPr>
              <w:t xml:space="preserve">randomized </w:t>
            </w:r>
            <w:r w:rsidRPr="00E8417C">
              <w:rPr>
                <w:rFonts w:ascii="Verdana" w:hAnsi="Verdana" w:cs="Calibri"/>
                <w:i/>
              </w:rPr>
              <w:t>evaluation design</w:t>
            </w:r>
          </w:p>
        </w:tc>
      </w:tr>
      <w:tr w:rsidR="00746E93" w:rsidRPr="0003378F" w:rsidTr="0003378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bottom w:w="142" w:type="dxa"/>
            </w:tcMar>
          </w:tcPr>
          <w:p w:rsidR="00746E93" w:rsidRPr="0003378F" w:rsidRDefault="00E87C0A" w:rsidP="00E87C0A">
            <w:pPr>
              <w:spacing w:after="0" w:line="24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09</w:t>
            </w:r>
            <w:r w:rsidR="00746E93" w:rsidRPr="0003378F">
              <w:rPr>
                <w:rFonts w:ascii="Verdana" w:hAnsi="Verdana" w:cs="Calibri"/>
              </w:rPr>
              <w:t>.</w:t>
            </w:r>
            <w:r w:rsidR="00901827">
              <w:rPr>
                <w:rFonts w:ascii="Verdana" w:hAnsi="Verdana" w:cs="Calibri"/>
              </w:rPr>
              <w:t>30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746E93" w:rsidRPr="0003378F" w:rsidRDefault="00746E93" w:rsidP="00823472">
            <w:pPr>
              <w:spacing w:after="0" w:line="240" w:lineRule="auto"/>
              <w:rPr>
                <w:rFonts w:ascii="Verdana" w:hAnsi="Verdana" w:cs="Calibri"/>
              </w:rPr>
            </w:pPr>
            <w:r w:rsidRPr="0003378F">
              <w:rPr>
                <w:rFonts w:ascii="Verdana" w:hAnsi="Verdana" w:cs="Calibri"/>
              </w:rPr>
              <w:t>Tea/coffee</w:t>
            </w:r>
          </w:p>
        </w:tc>
      </w:tr>
      <w:tr w:rsidR="009B0604" w:rsidRPr="0003378F" w:rsidTr="0003378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bottom w:w="142" w:type="dxa"/>
            </w:tcMar>
          </w:tcPr>
          <w:p w:rsidR="009B0604" w:rsidRPr="0003378F" w:rsidRDefault="00E87C0A" w:rsidP="00901827">
            <w:pPr>
              <w:spacing w:after="0" w:line="24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09</w:t>
            </w:r>
            <w:r w:rsidR="009B0604">
              <w:rPr>
                <w:rFonts w:ascii="Verdana" w:hAnsi="Verdana" w:cs="Calibri"/>
              </w:rPr>
              <w:t>.</w:t>
            </w:r>
            <w:r w:rsidR="00901827">
              <w:rPr>
                <w:rFonts w:ascii="Verdana" w:hAnsi="Verdana" w:cs="Calibri"/>
              </w:rPr>
              <w:t>45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9B0604" w:rsidRPr="009B0604" w:rsidRDefault="009B0604" w:rsidP="00823472">
            <w:pPr>
              <w:spacing w:after="0" w:line="240" w:lineRule="auto"/>
              <w:rPr>
                <w:rFonts w:ascii="Verdana" w:hAnsi="Verdana" w:cs="Calibri"/>
                <w:b/>
              </w:rPr>
            </w:pPr>
            <w:r w:rsidRPr="009B0604">
              <w:rPr>
                <w:rFonts w:ascii="Verdana" w:hAnsi="Verdana" w:cs="Calibri"/>
                <w:b/>
              </w:rPr>
              <w:t xml:space="preserve">Lecture 3  </w:t>
            </w:r>
          </w:p>
          <w:p w:rsidR="00931406" w:rsidRPr="00B129AE" w:rsidRDefault="009B0604" w:rsidP="00823472">
            <w:pPr>
              <w:spacing w:after="0" w:line="240" w:lineRule="auto"/>
              <w:rPr>
                <w:rFonts w:ascii="Verdana" w:hAnsi="Verdana" w:cs="Calibri"/>
                <w:b/>
              </w:rPr>
            </w:pPr>
            <w:r w:rsidRPr="009B0604">
              <w:rPr>
                <w:rFonts w:ascii="Verdana" w:hAnsi="Verdana" w:cs="Calibri"/>
                <w:b/>
              </w:rPr>
              <w:t>Systematic reviews in international development</w:t>
            </w:r>
          </w:p>
        </w:tc>
      </w:tr>
      <w:tr w:rsidR="00931406" w:rsidRPr="0003378F" w:rsidTr="0003378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bottom w:w="142" w:type="dxa"/>
            </w:tcMar>
          </w:tcPr>
          <w:p w:rsidR="00931406" w:rsidRDefault="00B129AE" w:rsidP="00E87C0A">
            <w:pPr>
              <w:spacing w:after="0" w:line="24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</w:t>
            </w:r>
            <w:r w:rsidR="00E87C0A">
              <w:rPr>
                <w:rFonts w:ascii="Verdana" w:hAnsi="Verdana" w:cs="Calibri"/>
              </w:rPr>
              <w:t>0</w:t>
            </w:r>
            <w:r>
              <w:rPr>
                <w:rFonts w:ascii="Verdana" w:hAnsi="Verdana" w:cs="Calibri"/>
              </w:rPr>
              <w:t>.</w:t>
            </w:r>
            <w:r w:rsidR="00901827">
              <w:rPr>
                <w:rFonts w:ascii="Verdana" w:hAnsi="Verdana" w:cs="Calibri"/>
              </w:rPr>
              <w:t>45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931406" w:rsidRPr="00931406" w:rsidRDefault="00E87C0A" w:rsidP="00901827">
            <w:pPr>
              <w:spacing w:after="0" w:line="24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Break</w:t>
            </w:r>
            <w:r w:rsidR="00901827" w:rsidRPr="00931406">
              <w:rPr>
                <w:rFonts w:ascii="Verdana" w:hAnsi="Verdana" w:cs="Calibri"/>
              </w:rPr>
              <w:t xml:space="preserve"> </w:t>
            </w:r>
          </w:p>
        </w:tc>
      </w:tr>
      <w:tr w:rsidR="00746E93" w:rsidRPr="0003378F" w:rsidTr="0003378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bottom w:w="142" w:type="dxa"/>
            </w:tcMar>
          </w:tcPr>
          <w:p w:rsidR="00746E93" w:rsidRPr="0003378F" w:rsidRDefault="00901827" w:rsidP="00E87C0A">
            <w:pPr>
              <w:spacing w:after="0" w:line="24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</w:t>
            </w:r>
            <w:r w:rsidR="00E87C0A">
              <w:rPr>
                <w:rFonts w:ascii="Verdana" w:hAnsi="Verdana" w:cs="Calibri"/>
              </w:rPr>
              <w:t>1</w:t>
            </w:r>
            <w:r>
              <w:rPr>
                <w:rFonts w:ascii="Verdana" w:hAnsi="Verdana" w:cs="Calibri"/>
              </w:rPr>
              <w:t>.</w:t>
            </w:r>
            <w:r w:rsidR="00E87C0A">
              <w:rPr>
                <w:rFonts w:ascii="Verdana" w:hAnsi="Verdana" w:cs="Calibri"/>
              </w:rPr>
              <w:t>00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746E93" w:rsidRPr="0003378F" w:rsidRDefault="00746E93" w:rsidP="00795990">
            <w:pPr>
              <w:spacing w:after="0" w:line="240" w:lineRule="auto"/>
              <w:rPr>
                <w:rFonts w:ascii="Verdana" w:hAnsi="Verdana" w:cs="Calibri"/>
                <w:b/>
              </w:rPr>
            </w:pPr>
            <w:r w:rsidRPr="0003378F">
              <w:rPr>
                <w:rFonts w:ascii="Verdana" w:hAnsi="Verdana" w:cs="Calibri"/>
                <w:b/>
              </w:rPr>
              <w:t>Statistical matching and other quasi-experimental designs</w:t>
            </w:r>
          </w:p>
          <w:p w:rsidR="00746E93" w:rsidRPr="0003378F" w:rsidRDefault="00746E93" w:rsidP="00795990">
            <w:pPr>
              <w:spacing w:after="0" w:line="240" w:lineRule="auto"/>
              <w:rPr>
                <w:rFonts w:ascii="Verdana" w:hAnsi="Verdana" w:cs="Calibri"/>
                <w:i/>
              </w:rPr>
            </w:pPr>
            <w:r w:rsidRPr="00931406">
              <w:rPr>
                <w:rFonts w:ascii="Verdana" w:hAnsi="Verdana" w:cs="Calibri"/>
                <w:i/>
              </w:rPr>
              <w:t>Presentation</w:t>
            </w:r>
          </w:p>
        </w:tc>
      </w:tr>
      <w:tr w:rsidR="00931406" w:rsidRPr="0003378F" w:rsidTr="0003378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bottom w:w="142" w:type="dxa"/>
            </w:tcMar>
          </w:tcPr>
          <w:p w:rsidR="00931406" w:rsidRDefault="00B129AE" w:rsidP="00E87C0A">
            <w:pPr>
              <w:spacing w:after="0" w:line="24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</w:t>
            </w:r>
            <w:r w:rsidR="00E87C0A">
              <w:rPr>
                <w:rFonts w:ascii="Verdana" w:hAnsi="Verdana" w:cs="Calibri"/>
              </w:rPr>
              <w:t>2</w:t>
            </w:r>
            <w:r>
              <w:rPr>
                <w:rFonts w:ascii="Verdana" w:hAnsi="Verdana" w:cs="Calibri"/>
              </w:rPr>
              <w:t>.</w:t>
            </w:r>
            <w:r w:rsidR="00E87C0A">
              <w:rPr>
                <w:rFonts w:ascii="Verdana" w:hAnsi="Verdana" w:cs="Calibri"/>
              </w:rPr>
              <w:t>00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931406" w:rsidRDefault="00E87C0A" w:rsidP="00840866">
            <w:pPr>
              <w:spacing w:after="0" w:line="24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Lunch</w:t>
            </w:r>
          </w:p>
        </w:tc>
      </w:tr>
      <w:tr w:rsidR="00E87C0A" w:rsidRPr="0003378F" w:rsidTr="0003378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bottom w:w="142" w:type="dxa"/>
            </w:tcMar>
          </w:tcPr>
          <w:p w:rsidR="00E87C0A" w:rsidRDefault="00E87C0A" w:rsidP="00E87C0A">
            <w:pPr>
              <w:spacing w:after="0" w:line="24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12:45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E87C0A" w:rsidRDefault="00E87C0A" w:rsidP="00840866">
            <w:pPr>
              <w:spacing w:after="0" w:line="24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Group work</w:t>
            </w:r>
          </w:p>
        </w:tc>
      </w:tr>
      <w:tr w:rsidR="00931406" w:rsidRPr="0003378F" w:rsidTr="0003378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bottom w:w="142" w:type="dxa"/>
            </w:tcMar>
          </w:tcPr>
          <w:p w:rsidR="00931406" w:rsidRDefault="00B129AE" w:rsidP="00E87C0A">
            <w:pPr>
              <w:spacing w:after="0" w:line="24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</w:t>
            </w:r>
            <w:r w:rsidR="00E87C0A">
              <w:rPr>
                <w:rFonts w:ascii="Verdana" w:hAnsi="Verdana" w:cs="Calibri"/>
              </w:rPr>
              <w:t>3</w:t>
            </w:r>
            <w:r>
              <w:rPr>
                <w:rFonts w:ascii="Verdana" w:hAnsi="Verdana" w:cs="Calibri"/>
              </w:rPr>
              <w:t>.</w:t>
            </w:r>
            <w:r w:rsidR="00E87C0A">
              <w:rPr>
                <w:rFonts w:ascii="Verdana" w:hAnsi="Verdana" w:cs="Calibri"/>
              </w:rPr>
              <w:t>45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931406" w:rsidRDefault="00931406" w:rsidP="00840866">
            <w:pPr>
              <w:spacing w:after="0" w:line="24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Break</w:t>
            </w:r>
          </w:p>
        </w:tc>
      </w:tr>
      <w:tr w:rsidR="00931406" w:rsidRPr="0003378F" w:rsidTr="0003378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bottom w:w="142" w:type="dxa"/>
            </w:tcMar>
          </w:tcPr>
          <w:p w:rsidR="00931406" w:rsidRDefault="00E87C0A" w:rsidP="00E87C0A">
            <w:pPr>
              <w:spacing w:after="0" w:line="24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14.00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931406" w:rsidRDefault="00931406" w:rsidP="00840866">
            <w:pPr>
              <w:spacing w:after="0" w:line="240" w:lineRule="auto"/>
              <w:rPr>
                <w:rFonts w:ascii="Verdana" w:hAnsi="Verdana" w:cs="Calibri"/>
                <w:b/>
              </w:rPr>
            </w:pPr>
            <w:r w:rsidRPr="00931406">
              <w:rPr>
                <w:rFonts w:ascii="Verdana" w:hAnsi="Verdana" w:cs="Calibri"/>
                <w:b/>
              </w:rPr>
              <w:t>Managing impact evaluations: governance structure, time and budget</w:t>
            </w:r>
          </w:p>
          <w:p w:rsidR="00B129AE" w:rsidRPr="00931406" w:rsidRDefault="00B129AE" w:rsidP="00840866">
            <w:pPr>
              <w:spacing w:after="0" w:line="240" w:lineRule="auto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i/>
              </w:rPr>
              <w:t>Presentation followed by group work</w:t>
            </w:r>
          </w:p>
        </w:tc>
      </w:tr>
      <w:tr w:rsidR="00931406" w:rsidRPr="0003378F" w:rsidTr="0003378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bottom w:w="142" w:type="dxa"/>
            </w:tcMar>
          </w:tcPr>
          <w:p w:rsidR="00931406" w:rsidRPr="0003378F" w:rsidRDefault="00B129AE" w:rsidP="00E87C0A">
            <w:pPr>
              <w:spacing w:after="0" w:line="24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</w:t>
            </w:r>
            <w:r w:rsidR="00E87C0A">
              <w:rPr>
                <w:rFonts w:ascii="Verdana" w:hAnsi="Verdana" w:cs="Calibri"/>
              </w:rPr>
              <w:t>5</w:t>
            </w:r>
            <w:r>
              <w:rPr>
                <w:rFonts w:ascii="Verdana" w:hAnsi="Verdana" w:cs="Calibri"/>
              </w:rPr>
              <w:t>.</w:t>
            </w:r>
            <w:r w:rsidR="00E87C0A">
              <w:rPr>
                <w:rFonts w:ascii="Verdana" w:hAnsi="Verdana" w:cs="Calibri"/>
              </w:rPr>
              <w:t>00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931406" w:rsidRPr="00451FED" w:rsidRDefault="0077495D" w:rsidP="0003378F">
            <w:pPr>
              <w:spacing w:after="0" w:line="240" w:lineRule="auto"/>
              <w:rPr>
                <w:rFonts w:ascii="Verdana" w:hAnsi="Verdana" w:cs="Calibri"/>
                <w:b/>
              </w:rPr>
            </w:pPr>
            <w:r w:rsidRPr="00451FED">
              <w:rPr>
                <w:rFonts w:ascii="Verdana" w:hAnsi="Verdana" w:cs="Calibri"/>
                <w:b/>
              </w:rPr>
              <w:t>Goldfish bowl discussion: should development agencies commission impact evaluations?</w:t>
            </w:r>
          </w:p>
          <w:p w:rsidR="0077495D" w:rsidRPr="0003378F" w:rsidRDefault="0077495D" w:rsidP="00AB19D2">
            <w:pPr>
              <w:spacing w:after="0" w:line="24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Howard White</w:t>
            </w:r>
            <w:r w:rsidR="00AB19D2">
              <w:rPr>
                <w:rFonts w:ascii="Verdana" w:hAnsi="Verdana" w:cs="Calibri"/>
              </w:rPr>
              <w:t xml:space="preserve"> and </w:t>
            </w:r>
            <w:r w:rsidR="00E87C0A">
              <w:rPr>
                <w:rFonts w:ascii="Verdana" w:hAnsi="Verdana" w:cs="Calibri"/>
              </w:rPr>
              <w:t>Øyvind Eggen</w:t>
            </w:r>
            <w:r w:rsidR="00AB19D2">
              <w:rPr>
                <w:rFonts w:ascii="Verdana" w:hAnsi="Verdana" w:cs="Calibri"/>
              </w:rPr>
              <w:t xml:space="preserve"> </w:t>
            </w:r>
          </w:p>
        </w:tc>
      </w:tr>
      <w:tr w:rsidR="00451FED" w:rsidRPr="0003378F" w:rsidTr="0003378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bottom w:w="142" w:type="dxa"/>
            </w:tcMar>
          </w:tcPr>
          <w:p w:rsidR="00451FED" w:rsidRDefault="00451FED" w:rsidP="00E87C0A">
            <w:pPr>
              <w:spacing w:after="0" w:line="24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</w:t>
            </w:r>
            <w:r w:rsidR="00E87C0A">
              <w:rPr>
                <w:rFonts w:ascii="Verdana" w:hAnsi="Verdana" w:cs="Calibri"/>
              </w:rPr>
              <w:t>5</w:t>
            </w:r>
            <w:r>
              <w:rPr>
                <w:rFonts w:ascii="Verdana" w:hAnsi="Verdana" w:cs="Calibri"/>
              </w:rPr>
              <w:t>.</w:t>
            </w:r>
            <w:r w:rsidR="00E87C0A">
              <w:rPr>
                <w:rFonts w:ascii="Verdana" w:hAnsi="Verdana" w:cs="Calibri"/>
              </w:rPr>
              <w:t>45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451FED" w:rsidRDefault="00451FED" w:rsidP="0003378F">
            <w:pPr>
              <w:spacing w:after="0" w:line="24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Exit survey and close</w:t>
            </w:r>
          </w:p>
        </w:tc>
      </w:tr>
    </w:tbl>
    <w:p w:rsidR="00746E93" w:rsidRPr="00223651" w:rsidRDefault="00746E93" w:rsidP="00EC2190">
      <w:pPr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lastRenderedPageBreak/>
        <w:t>Friday 2</w:t>
      </w:r>
      <w:r w:rsidR="00451FED">
        <w:rPr>
          <w:rFonts w:ascii="Verdana" w:hAnsi="Verdana" w:cs="Calibri"/>
          <w:b/>
        </w:rPr>
        <w:t>2</w:t>
      </w:r>
      <w:r w:rsidR="00451FED" w:rsidRPr="00451FED">
        <w:rPr>
          <w:rFonts w:ascii="Verdana" w:hAnsi="Verdana" w:cs="Calibri"/>
          <w:b/>
          <w:vertAlign w:val="superscript"/>
        </w:rPr>
        <w:t>nd</w:t>
      </w:r>
      <w:r w:rsidR="00451FED">
        <w:rPr>
          <w:rFonts w:ascii="Verdana" w:hAnsi="Verdana" w:cs="Calibri"/>
          <w:b/>
        </w:rPr>
        <w:t xml:space="preserve"> November 2013</w:t>
      </w:r>
      <w:r w:rsidR="00AB19D2">
        <w:rPr>
          <w:rFonts w:ascii="Verdana" w:hAnsi="Verdana" w:cs="Calibri"/>
          <w:b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242"/>
        <w:gridCol w:w="8000"/>
      </w:tblGrid>
      <w:tr w:rsidR="00451FED" w:rsidRPr="0003378F" w:rsidTr="0003378F">
        <w:tc>
          <w:tcPr>
            <w:tcW w:w="1242" w:type="dxa"/>
            <w:tcMar>
              <w:bottom w:w="142" w:type="dxa"/>
            </w:tcMar>
          </w:tcPr>
          <w:p w:rsidR="00693A82" w:rsidRDefault="00451FED" w:rsidP="00693A82">
            <w:pPr>
              <w:rPr>
                <w:rFonts w:ascii="Verdana" w:hAnsi="Verdana"/>
              </w:rPr>
            </w:pPr>
            <w:r>
              <w:rPr>
                <w:rFonts w:ascii="Verdana" w:hAnsi="Verdana" w:cs="Calibri"/>
              </w:rPr>
              <w:t>1</w:t>
            </w:r>
            <w:r w:rsidR="00E87C0A">
              <w:rPr>
                <w:rFonts w:ascii="Verdana" w:hAnsi="Verdana" w:cs="Calibri"/>
              </w:rPr>
              <w:t>0</w:t>
            </w:r>
            <w:r>
              <w:rPr>
                <w:rFonts w:ascii="Verdana" w:hAnsi="Verdana" w:cs="Calibri"/>
              </w:rPr>
              <w:t>.</w:t>
            </w:r>
            <w:r w:rsidR="00E87C0A">
              <w:rPr>
                <w:rFonts w:ascii="Verdana" w:hAnsi="Verdana" w:cs="Calibri"/>
              </w:rPr>
              <w:t>15</w:t>
            </w:r>
            <w:r w:rsidR="00693A82">
              <w:rPr>
                <w:rFonts w:ascii="Verdana" w:hAnsi="Verdana" w:cs="Calibri"/>
              </w:rPr>
              <w:t xml:space="preserve"> – </w:t>
            </w:r>
            <w:r w:rsidR="00693A82">
              <w:rPr>
                <w:rFonts w:ascii="Verdana" w:hAnsi="Verdana"/>
              </w:rPr>
              <w:t>11.45</w:t>
            </w:r>
          </w:p>
          <w:p w:rsidR="00451FED" w:rsidRDefault="00451FED" w:rsidP="00E87C0A">
            <w:pPr>
              <w:spacing w:after="0" w:line="240" w:lineRule="auto"/>
              <w:rPr>
                <w:rFonts w:ascii="Verdana" w:hAnsi="Verdana" w:cs="Calibri"/>
              </w:rPr>
            </w:pPr>
          </w:p>
        </w:tc>
        <w:tc>
          <w:tcPr>
            <w:tcW w:w="8000" w:type="dxa"/>
          </w:tcPr>
          <w:p w:rsidR="00451FED" w:rsidRDefault="009962B7" w:rsidP="00795990">
            <w:pPr>
              <w:spacing w:after="0" w:line="240" w:lineRule="auto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L</w:t>
            </w:r>
            <w:r w:rsidR="00451FED">
              <w:rPr>
                <w:rFonts w:ascii="Verdana" w:hAnsi="Verdana" w:cs="Calibri"/>
                <w:b/>
              </w:rPr>
              <w:t>ecture 4</w:t>
            </w:r>
            <w:r>
              <w:rPr>
                <w:rFonts w:ascii="Verdana" w:hAnsi="Verdana" w:cs="Calibri"/>
                <w:b/>
              </w:rPr>
              <w:t xml:space="preserve"> (extra) </w:t>
            </w:r>
          </w:p>
          <w:p w:rsidR="00451FED" w:rsidRPr="00451FED" w:rsidRDefault="00451FED" w:rsidP="00795990">
            <w:pPr>
              <w:spacing w:after="0" w:line="240" w:lineRule="auto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Approaches to randomization</w:t>
            </w:r>
          </w:p>
        </w:tc>
      </w:tr>
    </w:tbl>
    <w:p w:rsidR="00746E93" w:rsidRDefault="0055393E">
      <w:pPr>
        <w:rPr>
          <w:rFonts w:ascii="Verdana" w:hAnsi="Verdana"/>
        </w:rPr>
      </w:pPr>
      <w:r w:rsidRPr="0055393E">
        <w:rPr>
          <w:rFonts w:ascii="Verdana" w:hAnsi="Verdana"/>
          <w:b/>
        </w:rPr>
        <w:t>Suggested readings</w:t>
      </w:r>
    </w:p>
    <w:p w:rsidR="0055393E" w:rsidRDefault="0055393E">
      <w:pPr>
        <w:rPr>
          <w:rFonts w:ascii="Verdana" w:hAnsi="Verdana"/>
        </w:rPr>
      </w:pPr>
      <w:r>
        <w:rPr>
          <w:rFonts w:ascii="Verdana" w:hAnsi="Verdana"/>
        </w:rPr>
        <w:t xml:space="preserve">Paul </w:t>
      </w:r>
      <w:proofErr w:type="spellStart"/>
      <w:r>
        <w:rPr>
          <w:rFonts w:ascii="Verdana" w:hAnsi="Verdana"/>
        </w:rPr>
        <w:t>Gertler</w:t>
      </w:r>
      <w:proofErr w:type="spellEnd"/>
      <w:r>
        <w:rPr>
          <w:rFonts w:ascii="Verdana" w:hAnsi="Verdana"/>
        </w:rPr>
        <w:t xml:space="preserve"> et al. (2011) </w:t>
      </w:r>
      <w:r>
        <w:rPr>
          <w:rFonts w:ascii="Verdana" w:hAnsi="Verdana"/>
          <w:i/>
        </w:rPr>
        <w:t xml:space="preserve">Impact Evaluation in Practice </w:t>
      </w:r>
      <w:r>
        <w:rPr>
          <w:rFonts w:ascii="Verdana" w:hAnsi="Verdana"/>
        </w:rPr>
        <w:t>Washington D.C.: World Bank</w:t>
      </w:r>
    </w:p>
    <w:p w:rsidR="0055393E" w:rsidRDefault="0055393E" w:rsidP="0055393E">
      <w:pPr>
        <w:rPr>
          <w:rFonts w:ascii="Verdana" w:hAnsi="Verdana"/>
        </w:rPr>
      </w:pPr>
      <w:r>
        <w:rPr>
          <w:rFonts w:ascii="Verdana" w:hAnsi="Verdana"/>
        </w:rPr>
        <w:t xml:space="preserve">Howard White (2013) </w:t>
      </w:r>
      <w:r w:rsidRPr="0055393E">
        <w:rPr>
          <w:rFonts w:ascii="Verdana" w:hAnsi="Verdana"/>
        </w:rPr>
        <w:t xml:space="preserve">‘An introduction to the use of randomized control trials to evaluate development interventions’ </w:t>
      </w:r>
      <w:r w:rsidRPr="0055393E">
        <w:rPr>
          <w:rFonts w:ascii="Verdana" w:hAnsi="Verdana"/>
          <w:i/>
        </w:rPr>
        <w:t xml:space="preserve">Journal of Development Effectiveness </w:t>
      </w:r>
      <w:r w:rsidRPr="0055393E">
        <w:rPr>
          <w:rFonts w:ascii="Verdana" w:hAnsi="Verdana"/>
        </w:rPr>
        <w:t>5(1): 30-49, 2013</w:t>
      </w:r>
    </w:p>
    <w:p w:rsidR="0055393E" w:rsidRDefault="0055393E" w:rsidP="0055393E">
      <w:pPr>
        <w:rPr>
          <w:rFonts w:ascii="Verdana" w:hAnsi="Verdana"/>
        </w:rPr>
      </w:pPr>
      <w:r>
        <w:rPr>
          <w:rFonts w:ascii="Verdana" w:hAnsi="Verdana"/>
        </w:rPr>
        <w:t xml:space="preserve">Howard White (2013) </w:t>
      </w:r>
      <w:r w:rsidRPr="0055393E">
        <w:rPr>
          <w:rFonts w:ascii="Verdana" w:hAnsi="Verdana"/>
        </w:rPr>
        <w:t xml:space="preserve">‘The use of mixed methods in Randomized Control Trials’ </w:t>
      </w:r>
      <w:r w:rsidRPr="0055393E">
        <w:rPr>
          <w:rFonts w:ascii="Verdana" w:hAnsi="Verdana"/>
          <w:i/>
        </w:rPr>
        <w:t>New Directions in Evaluation</w:t>
      </w:r>
      <w:r w:rsidR="008729B4">
        <w:rPr>
          <w:rFonts w:ascii="Verdana" w:hAnsi="Verdana"/>
        </w:rPr>
        <w:t xml:space="preserve"> 138: 61–73</w:t>
      </w:r>
    </w:p>
    <w:p w:rsidR="0055393E" w:rsidRPr="0055393E" w:rsidRDefault="0055393E" w:rsidP="0055393E">
      <w:pPr>
        <w:rPr>
          <w:rFonts w:ascii="Verdana" w:hAnsi="Verdana"/>
        </w:rPr>
      </w:pPr>
      <w:r>
        <w:rPr>
          <w:rFonts w:ascii="Verdana" w:hAnsi="Verdana"/>
        </w:rPr>
        <w:t>Howard White (2010) ‘</w:t>
      </w:r>
      <w:r w:rsidRPr="0055393E">
        <w:rPr>
          <w:rFonts w:ascii="Verdana" w:hAnsi="Verdana"/>
        </w:rPr>
        <w:t>Theory-based impact evalu</w:t>
      </w:r>
      <w:r>
        <w:rPr>
          <w:rFonts w:ascii="Verdana" w:hAnsi="Verdana"/>
        </w:rPr>
        <w:t>ation: principles and practice’</w:t>
      </w:r>
      <w:r w:rsidRPr="0055393E">
        <w:rPr>
          <w:rFonts w:ascii="Verdana" w:hAnsi="Verdana"/>
        </w:rPr>
        <w:t xml:space="preserve"> </w:t>
      </w:r>
      <w:r w:rsidRPr="0055393E">
        <w:rPr>
          <w:rFonts w:ascii="Verdana" w:hAnsi="Verdana"/>
          <w:i/>
        </w:rPr>
        <w:t>Journal of Development Effectiveness</w:t>
      </w:r>
      <w:r>
        <w:rPr>
          <w:rFonts w:ascii="Verdana" w:hAnsi="Verdana"/>
        </w:rPr>
        <w:t>, 1(3): 271-284.</w:t>
      </w:r>
    </w:p>
    <w:p w:rsidR="0055393E" w:rsidRPr="0055393E" w:rsidRDefault="0055393E" w:rsidP="0055393E">
      <w:pPr>
        <w:rPr>
          <w:rFonts w:ascii="Verdana" w:hAnsi="Verdana"/>
        </w:rPr>
      </w:pPr>
    </w:p>
    <w:sectPr w:rsidR="0055393E" w:rsidRPr="0055393E" w:rsidSect="008B1A6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3136E"/>
    <w:multiLevelType w:val="hybridMultilevel"/>
    <w:tmpl w:val="1560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55256"/>
    <w:multiLevelType w:val="hybridMultilevel"/>
    <w:tmpl w:val="FDA8B5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C5B56"/>
    <w:multiLevelType w:val="hybridMultilevel"/>
    <w:tmpl w:val="0EC4BF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B9021C6"/>
    <w:multiLevelType w:val="hybridMultilevel"/>
    <w:tmpl w:val="E5720D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623BA"/>
    <w:multiLevelType w:val="hybridMultilevel"/>
    <w:tmpl w:val="C4A8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07"/>
    <w:rsid w:val="000032A5"/>
    <w:rsid w:val="00005351"/>
    <w:rsid w:val="0003378F"/>
    <w:rsid w:val="000368E6"/>
    <w:rsid w:val="00052907"/>
    <w:rsid w:val="000530BE"/>
    <w:rsid w:val="000C5F71"/>
    <w:rsid w:val="000D0233"/>
    <w:rsid w:val="000D32DC"/>
    <w:rsid w:val="000E4B85"/>
    <w:rsid w:val="00184084"/>
    <w:rsid w:val="00191BBE"/>
    <w:rsid w:val="001C3DC9"/>
    <w:rsid w:val="00223651"/>
    <w:rsid w:val="00240CA1"/>
    <w:rsid w:val="002829EA"/>
    <w:rsid w:val="002832AC"/>
    <w:rsid w:val="00283C26"/>
    <w:rsid w:val="002E008E"/>
    <w:rsid w:val="002E18F6"/>
    <w:rsid w:val="002E353F"/>
    <w:rsid w:val="003009F4"/>
    <w:rsid w:val="00307F77"/>
    <w:rsid w:val="00312696"/>
    <w:rsid w:val="00322560"/>
    <w:rsid w:val="00323091"/>
    <w:rsid w:val="003339EE"/>
    <w:rsid w:val="003353A8"/>
    <w:rsid w:val="003578DB"/>
    <w:rsid w:val="00367C88"/>
    <w:rsid w:val="003904A9"/>
    <w:rsid w:val="00394A5C"/>
    <w:rsid w:val="00406059"/>
    <w:rsid w:val="0041076F"/>
    <w:rsid w:val="00451FC9"/>
    <w:rsid w:val="00451FED"/>
    <w:rsid w:val="00490A32"/>
    <w:rsid w:val="004A2ECD"/>
    <w:rsid w:val="004B5624"/>
    <w:rsid w:val="004D684B"/>
    <w:rsid w:val="004D78F1"/>
    <w:rsid w:val="00515A9D"/>
    <w:rsid w:val="0052717A"/>
    <w:rsid w:val="00533874"/>
    <w:rsid w:val="00537FDF"/>
    <w:rsid w:val="005441B4"/>
    <w:rsid w:val="0055393E"/>
    <w:rsid w:val="00587FEB"/>
    <w:rsid w:val="00591A1A"/>
    <w:rsid w:val="0059413D"/>
    <w:rsid w:val="00594926"/>
    <w:rsid w:val="005A4CD7"/>
    <w:rsid w:val="005B29A0"/>
    <w:rsid w:val="006008C6"/>
    <w:rsid w:val="00603EDD"/>
    <w:rsid w:val="00605394"/>
    <w:rsid w:val="00616F0C"/>
    <w:rsid w:val="00647020"/>
    <w:rsid w:val="00676E9F"/>
    <w:rsid w:val="00693A82"/>
    <w:rsid w:val="006B4CB8"/>
    <w:rsid w:val="006C1A03"/>
    <w:rsid w:val="006E3480"/>
    <w:rsid w:val="006E391A"/>
    <w:rsid w:val="006E571E"/>
    <w:rsid w:val="006E740D"/>
    <w:rsid w:val="00700B0C"/>
    <w:rsid w:val="0072184C"/>
    <w:rsid w:val="00740465"/>
    <w:rsid w:val="00746E93"/>
    <w:rsid w:val="00765E1F"/>
    <w:rsid w:val="00766921"/>
    <w:rsid w:val="0077495D"/>
    <w:rsid w:val="007759C3"/>
    <w:rsid w:val="00795990"/>
    <w:rsid w:val="007A77F5"/>
    <w:rsid w:val="007D0804"/>
    <w:rsid w:val="00801757"/>
    <w:rsid w:val="00823472"/>
    <w:rsid w:val="00853282"/>
    <w:rsid w:val="00857DD8"/>
    <w:rsid w:val="008659FC"/>
    <w:rsid w:val="008729B4"/>
    <w:rsid w:val="0087529C"/>
    <w:rsid w:val="008820D8"/>
    <w:rsid w:val="008904C6"/>
    <w:rsid w:val="008966A2"/>
    <w:rsid w:val="008A3AEC"/>
    <w:rsid w:val="008A3CA4"/>
    <w:rsid w:val="008B1A61"/>
    <w:rsid w:val="008D3099"/>
    <w:rsid w:val="00901827"/>
    <w:rsid w:val="00931406"/>
    <w:rsid w:val="00957806"/>
    <w:rsid w:val="0097004A"/>
    <w:rsid w:val="00973557"/>
    <w:rsid w:val="009962B7"/>
    <w:rsid w:val="009A0A77"/>
    <w:rsid w:val="009B0604"/>
    <w:rsid w:val="009C275C"/>
    <w:rsid w:val="009D1140"/>
    <w:rsid w:val="00A16E4F"/>
    <w:rsid w:val="00A61F2C"/>
    <w:rsid w:val="00A70B9F"/>
    <w:rsid w:val="00A76A92"/>
    <w:rsid w:val="00A95498"/>
    <w:rsid w:val="00AB19D2"/>
    <w:rsid w:val="00AF066A"/>
    <w:rsid w:val="00AF14B3"/>
    <w:rsid w:val="00B0211A"/>
    <w:rsid w:val="00B03E9F"/>
    <w:rsid w:val="00B129AE"/>
    <w:rsid w:val="00B1490D"/>
    <w:rsid w:val="00B74807"/>
    <w:rsid w:val="00B81377"/>
    <w:rsid w:val="00BA28B8"/>
    <w:rsid w:val="00BE013B"/>
    <w:rsid w:val="00BE4AB3"/>
    <w:rsid w:val="00C01DCD"/>
    <w:rsid w:val="00C0536F"/>
    <w:rsid w:val="00C22952"/>
    <w:rsid w:val="00C5470A"/>
    <w:rsid w:val="00C80ED3"/>
    <w:rsid w:val="00C94199"/>
    <w:rsid w:val="00CA408F"/>
    <w:rsid w:val="00CA4977"/>
    <w:rsid w:val="00CD585C"/>
    <w:rsid w:val="00D01926"/>
    <w:rsid w:val="00D17CFD"/>
    <w:rsid w:val="00D60E39"/>
    <w:rsid w:val="00D724E4"/>
    <w:rsid w:val="00D969FB"/>
    <w:rsid w:val="00DB1BCC"/>
    <w:rsid w:val="00DB563E"/>
    <w:rsid w:val="00DC3DB5"/>
    <w:rsid w:val="00DC505B"/>
    <w:rsid w:val="00DC70F3"/>
    <w:rsid w:val="00DE020A"/>
    <w:rsid w:val="00E21BAA"/>
    <w:rsid w:val="00E3653C"/>
    <w:rsid w:val="00E631DE"/>
    <w:rsid w:val="00E73AE0"/>
    <w:rsid w:val="00E8417C"/>
    <w:rsid w:val="00E87C0A"/>
    <w:rsid w:val="00E91D0F"/>
    <w:rsid w:val="00EC2190"/>
    <w:rsid w:val="00EC451B"/>
    <w:rsid w:val="00F0435B"/>
    <w:rsid w:val="00F5124C"/>
    <w:rsid w:val="00F61707"/>
    <w:rsid w:val="00F71582"/>
    <w:rsid w:val="00F80C33"/>
    <w:rsid w:val="00F90DF2"/>
    <w:rsid w:val="00F973B2"/>
    <w:rsid w:val="00FA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4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48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6692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03ED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03ED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03ED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0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3E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832A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605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CA4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4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48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6692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03ED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03ED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03ED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0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3E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832A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605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CA4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2535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External Reviewer</dc:creator>
  <cp:lastModifiedBy>Hverven Marit</cp:lastModifiedBy>
  <cp:revision>2</cp:revision>
  <cp:lastPrinted>2013-10-01T13:16:00Z</cp:lastPrinted>
  <dcterms:created xsi:type="dcterms:W3CDTF">2013-10-17T12:36:00Z</dcterms:created>
  <dcterms:modified xsi:type="dcterms:W3CDTF">2013-10-17T12:36:00Z</dcterms:modified>
</cp:coreProperties>
</file>